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8" w:rsidRPr="00D364F3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764358" w:rsidRPr="00D364F3" w:rsidRDefault="00764358" w:rsidP="0076435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764358" w:rsidRPr="00D364F3" w:rsidRDefault="00764358" w:rsidP="0076435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2F68F3" w:rsidRPr="002F68F3" w:rsidRDefault="002F68F3" w:rsidP="00764358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4358" w:rsidRPr="0042047D" w:rsidRDefault="00764358" w:rsidP="002F6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9EA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42047D" w:rsidRPr="0042047D">
        <w:rPr>
          <w:rFonts w:ascii="Times New Roman" w:hAnsi="Times New Roman" w:cs="Times New Roman"/>
          <w:b/>
          <w:sz w:val="28"/>
          <w:szCs w:val="28"/>
        </w:rPr>
        <w:t>5</w:t>
      </w:r>
      <w:r w:rsidR="0042047D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764358" w:rsidRPr="002F49EA" w:rsidRDefault="00764358" w:rsidP="0076435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358" w:rsidRPr="00064894" w:rsidRDefault="00764358" w:rsidP="002F49E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F49EA" w:rsidRPr="002F49EA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F49EA" w:rsidRPr="0042047D">
        <w:rPr>
          <w:rFonts w:ascii="Times New Roman" w:hAnsi="Times New Roman" w:cs="Times New Roman"/>
          <w:sz w:val="27"/>
          <w:szCs w:val="27"/>
          <w:lang w:val="uk-UA"/>
        </w:rPr>
        <w:t xml:space="preserve">1 </w:t>
      </w:r>
      <w:r w:rsidR="002F49EA">
        <w:rPr>
          <w:rFonts w:ascii="Times New Roman" w:hAnsi="Times New Roman" w:cs="Times New Roman"/>
          <w:sz w:val="27"/>
          <w:szCs w:val="27"/>
          <w:lang w:val="uk-UA"/>
        </w:rPr>
        <w:t xml:space="preserve">жовтня </w:t>
      </w:r>
      <w:r>
        <w:rPr>
          <w:rFonts w:ascii="Times New Roman" w:hAnsi="Times New Roman" w:cs="Times New Roman"/>
          <w:sz w:val="27"/>
          <w:szCs w:val="27"/>
          <w:lang w:val="uk-UA"/>
        </w:rPr>
        <w:t>2014 року</w:t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="002F68F3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2F49E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6489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2F49EA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064894">
        <w:rPr>
          <w:rFonts w:ascii="Times New Roman" w:hAnsi="Times New Roman" w:cs="Times New Roman"/>
          <w:sz w:val="27"/>
          <w:szCs w:val="27"/>
          <w:lang w:val="uk-UA"/>
        </w:rPr>
        <w:t xml:space="preserve"> сесія 6 скликання</w:t>
      </w:r>
    </w:p>
    <w:p w:rsidR="00764358" w:rsidRPr="002F68F3" w:rsidRDefault="00764358" w:rsidP="0076435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764358" w:rsidRPr="00064894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Про затвердження технічної документації по нормативній грошовій оцінці земельн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их</w:t>
      </w: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</w:t>
      </w: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к, що нада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ю</w:t>
      </w: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ться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на умовах оренди Дубчику Валерію Анатолійовичу</w:t>
      </w: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для ведення фермерського господарства, </w:t>
      </w: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за межами населеного пункту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с.Нетребівка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Нетребівської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Томашпільського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району, Вінницької області </w:t>
      </w:r>
    </w:p>
    <w:p w:rsidR="00764358" w:rsidRPr="00064894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64358" w:rsidRPr="00064894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Держземагентства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Томашпільському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районі технічну документацію по нормативній грошовій оцінці </w:t>
      </w:r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земельних ділянок, що надаються на умовах оренди Дубчику Валерію Анатолійовичу, для ведення фермерського господарства, за межами населеного пункту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с.Нетребівка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Нетребівської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ВИРІШИЛА:</w:t>
      </w:r>
    </w:p>
    <w:p w:rsidR="00764358" w:rsidRPr="002F68F3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B1767" w:rsidRPr="006B1767" w:rsidRDefault="00764358" w:rsidP="006B1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 Затвердити технічну документацію по нормативній грошовій оцінці </w:t>
      </w:r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земельних ділянок, що надаються на умовах оренди Дубчику Валерію Анатолійовичу, для ведення фермерського господарства, за межами населеного пункту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с.Нетребівка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Нетребівської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P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 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загальною площею </w:t>
      </w:r>
      <w:r w:rsidR="002F49EA">
        <w:rPr>
          <w:rFonts w:ascii="Times New Roman" w:hAnsi="Times New Roman" w:cs="Times New Roman"/>
          <w:color w:val="000000"/>
          <w:sz w:val="27"/>
          <w:szCs w:val="27"/>
          <w:lang w:val="uk-UA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2,4982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309 646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грн. 00 коп. (</w:t>
      </w:r>
      <w:r w:rsid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триста дев’ять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тисяч </w:t>
      </w:r>
      <w:r w:rsid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>шістсот сорок шість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грив</w:t>
      </w:r>
      <w:r w:rsid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>ень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, 00 коп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.)</w:t>
      </w:r>
      <w:r w:rsidR="006B1767"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>, в тому числі:</w:t>
      </w:r>
    </w:p>
    <w:p w:rsidR="00963FB0" w:rsidRDefault="006B1767" w:rsidP="006B1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- земельна ділянка №1 – 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>8,0000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га. з визначеною нормативною грошовою оцінкою 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>43 923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грн. 00 коп. (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>сорок три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тисяч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>і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дев’ятсот двадцять три 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гривн</w:t>
      </w:r>
      <w:r w:rsidR="00963FB0">
        <w:rPr>
          <w:rFonts w:ascii="Times New Roman" w:hAnsi="Times New Roman" w:cs="Times New Roman"/>
          <w:color w:val="000000"/>
          <w:sz w:val="27"/>
          <w:szCs w:val="27"/>
          <w:lang w:val="uk-UA"/>
        </w:rPr>
        <w:t>і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00 копійок);</w:t>
      </w:r>
      <w:r w:rsidR="0076435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764358" w:rsidRPr="00064894" w:rsidRDefault="00963FB0" w:rsidP="006B1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- земельна ділянка №2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14,4982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256 723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грн. 00 коп. (</w:t>
      </w:r>
      <w:r w:rsidR="002F68F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двісті п’ятдесят шість 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тисяч </w:t>
      </w:r>
      <w:r w:rsidR="002F68F3">
        <w:rPr>
          <w:rFonts w:ascii="Times New Roman" w:hAnsi="Times New Roman" w:cs="Times New Roman"/>
          <w:color w:val="000000"/>
          <w:sz w:val="27"/>
          <w:szCs w:val="27"/>
          <w:lang w:val="uk-UA"/>
        </w:rPr>
        <w:t>сімсот двадцять три</w:t>
      </w:r>
      <w:r w:rsidRPr="006B17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гривн</w:t>
      </w:r>
      <w:r w:rsidR="002F68F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і 00 копійок) </w:t>
      </w:r>
      <w:r w:rsidR="00764358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764358" w:rsidRPr="00064894" w:rsidRDefault="00764358" w:rsidP="00764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sz w:val="27"/>
          <w:szCs w:val="27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064894">
        <w:rPr>
          <w:rFonts w:ascii="Times New Roman" w:hAnsi="Times New Roman" w:cs="Times New Roman"/>
          <w:sz w:val="27"/>
          <w:szCs w:val="27"/>
          <w:lang w:val="uk-UA"/>
        </w:rPr>
        <w:t>Загроцький</w:t>
      </w:r>
      <w:proofErr w:type="spellEnd"/>
      <w:r w:rsidRPr="00064894">
        <w:rPr>
          <w:rFonts w:ascii="Times New Roman" w:hAnsi="Times New Roman" w:cs="Times New Roman"/>
          <w:sz w:val="27"/>
          <w:szCs w:val="27"/>
          <w:lang w:val="uk-UA"/>
        </w:rPr>
        <w:t xml:space="preserve"> М.Й.).</w:t>
      </w:r>
    </w:p>
    <w:p w:rsidR="002F68F3" w:rsidRPr="002F68F3" w:rsidRDefault="002F68F3" w:rsidP="002F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472503" w:rsidRDefault="00764358" w:rsidP="002F68F3">
      <w:pPr>
        <w:spacing w:after="0" w:line="240" w:lineRule="auto"/>
        <w:jc w:val="both"/>
      </w:pP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Голова районної ради</w:t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  <w:t>Л.</w:t>
      </w:r>
      <w:proofErr w:type="spellStart"/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Нароган</w:t>
      </w:r>
      <w:proofErr w:type="spellEnd"/>
    </w:p>
    <w:sectPr w:rsidR="00472503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58"/>
    <w:rsid w:val="000C3901"/>
    <w:rsid w:val="00104D1F"/>
    <w:rsid w:val="001F0647"/>
    <w:rsid w:val="00220FFA"/>
    <w:rsid w:val="002F49EA"/>
    <w:rsid w:val="002F68F3"/>
    <w:rsid w:val="003B434A"/>
    <w:rsid w:val="0042047D"/>
    <w:rsid w:val="00472503"/>
    <w:rsid w:val="00577C8B"/>
    <w:rsid w:val="006B1767"/>
    <w:rsid w:val="00764358"/>
    <w:rsid w:val="00782CBF"/>
    <w:rsid w:val="0087033B"/>
    <w:rsid w:val="00963FB0"/>
    <w:rsid w:val="00A1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435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7643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358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6435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F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2014-11-03T09:19:00Z</cp:lastPrinted>
  <dcterms:created xsi:type="dcterms:W3CDTF">2014-10-10T07:14:00Z</dcterms:created>
  <dcterms:modified xsi:type="dcterms:W3CDTF">2014-11-03T09:19:00Z</dcterms:modified>
</cp:coreProperties>
</file>