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C" w:rsidRPr="0019319D" w:rsidRDefault="00EE3292" w:rsidP="00877380">
      <w:pPr>
        <w:spacing w:after="0" w:line="240" w:lineRule="auto"/>
        <w:jc w:val="center"/>
        <w:rPr>
          <w:rFonts w:ascii="Times New Roman" w:hAnsi="Times New Roman"/>
          <w:spacing w:val="130"/>
          <w:sz w:val="28"/>
          <w:szCs w:val="28"/>
          <w:lang w:eastAsia="uk-UA"/>
        </w:rPr>
      </w:pPr>
      <w:r w:rsidRPr="00EE329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.75pt;margin-top:1.55pt;width:29.25pt;height:42.75pt;z-index:1;visibility:visible">
            <v:imagedata r:id="rId5" o:title=""/>
            <w10:wrap type="topAndBottom"/>
          </v:shape>
        </w:pict>
      </w:r>
      <w:r w:rsidR="009460CC" w:rsidRPr="0019319D">
        <w:rPr>
          <w:rFonts w:ascii="Times New Roman" w:hAnsi="Times New Roman"/>
          <w:spacing w:val="130"/>
          <w:sz w:val="28"/>
          <w:szCs w:val="28"/>
          <w:lang w:eastAsia="uk-UA"/>
        </w:rPr>
        <w:t>УКРАЇНА</w:t>
      </w:r>
    </w:p>
    <w:p w:rsidR="009460CC" w:rsidRPr="0019319D" w:rsidRDefault="009460CC" w:rsidP="00877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ТОМАШПІЛЬСЬКА РАЙОННА РАДА</w:t>
      </w:r>
    </w:p>
    <w:p w:rsidR="009460CC" w:rsidRPr="0019319D" w:rsidRDefault="009460CC" w:rsidP="00877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pacing w:val="70"/>
          <w:sz w:val="28"/>
          <w:szCs w:val="28"/>
          <w:lang w:eastAsia="uk-UA"/>
        </w:rPr>
        <w:t>ВІННИЦЬКОЇ ОБЛАСТІ</w:t>
      </w:r>
    </w:p>
    <w:p w:rsidR="009460CC" w:rsidRDefault="009460CC" w:rsidP="00877380">
      <w:pPr>
        <w:spacing w:after="0" w:line="24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eastAsia="uk-UA"/>
        </w:rPr>
      </w:pPr>
    </w:p>
    <w:p w:rsidR="009460CC" w:rsidRPr="00E63863" w:rsidRDefault="009460CC" w:rsidP="00877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uk-UA"/>
        </w:rPr>
      </w:pPr>
      <w:r w:rsidRPr="0019319D">
        <w:rPr>
          <w:rFonts w:ascii="Times New Roman" w:hAnsi="Times New Roman"/>
          <w:b/>
          <w:bCs/>
          <w:spacing w:val="70"/>
          <w:sz w:val="28"/>
          <w:szCs w:val="28"/>
          <w:lang w:eastAsia="uk-UA"/>
        </w:rPr>
        <w:t>РІШЕННЯ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№</w:t>
      </w:r>
      <w:r w:rsidR="00E63863">
        <w:rPr>
          <w:rFonts w:ascii="Times New Roman" w:hAnsi="Times New Roman"/>
          <w:b/>
          <w:bCs/>
          <w:sz w:val="28"/>
          <w:szCs w:val="28"/>
          <w:lang w:val="en-US" w:eastAsia="uk-UA"/>
        </w:rPr>
        <w:t>110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1"/>
          <w:szCs w:val="21"/>
          <w:lang w:eastAsia="uk-UA"/>
        </w:rPr>
      </w:pP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1"/>
          <w:szCs w:val="21"/>
          <w:lang w:eastAsia="uk-UA"/>
        </w:rPr>
      </w:pP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sz w:val="28"/>
          <w:szCs w:val="28"/>
          <w:lang w:eastAsia="uk-UA"/>
        </w:rPr>
        <w:t>22 липня 2</w:t>
      </w:r>
      <w:r w:rsidRPr="0019319D">
        <w:rPr>
          <w:rFonts w:ascii="Times New Roman" w:hAnsi="Times New Roman"/>
          <w:sz w:val="28"/>
          <w:szCs w:val="28"/>
          <w:lang w:eastAsia="uk-UA"/>
        </w:rPr>
        <w:t>016 року</w:t>
      </w:r>
      <w:r w:rsidRPr="0019319D"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6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сесія 7 скликання</w:t>
      </w:r>
    </w:p>
    <w:p w:rsidR="009460CC" w:rsidRPr="0019319D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Комплексну Програму розвитку  </w:t>
      </w:r>
      <w:r w:rsidR="00E63863">
        <w:rPr>
          <w:rFonts w:ascii="Times New Roman" w:hAnsi="Times New Roman"/>
          <w:b/>
          <w:bCs/>
          <w:sz w:val="28"/>
          <w:szCs w:val="28"/>
          <w:lang w:eastAsia="uk-UA"/>
        </w:rPr>
        <w:t>к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омунальної установи «</w:t>
      </w:r>
      <w:proofErr w:type="spellStart"/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Томашпільська</w:t>
      </w:r>
      <w:proofErr w:type="spellEnd"/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центральна районна лікарня» на 2016-2020 роки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460CC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Відповідно до пункту 16 частини 1 статті 43 Закону України «Про місцеве самоврядування в Україні», на виконання ст. 307 «Програми Кабінету Міністрів України та Стратегії сталого розвитку» Україна - 2020», Закону України «Про затвердження Загальнодержавної програми боротьби з онкологічними захворюваннями на період до 2016 року» та рішення 10 сесії 6 скликання Вінницької обласної ради від 14.02.2012 р. № 279 «Про обласну програму боротьби з онкологічними захворюваннями на період до 2016 року», Закону України від 16.10.2012 р. № 5451- VI «Про затвердження загальнодержавної цільової соціальної програми протидії захворюванню на туберкульоз на 2012 - 2016 роки» та рішення 14 сесії 6 скликання Вінницької обласної ради від 19.02.2013 р. № 484 «Про обласну програму протидії захворюванню на туберкульоз на 2013 - 2016 роки», загальнодержавної програми «Національний план дій щодо реалізації Конвенції ООН про права дитини на період до 2016 року»,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враховуючи клопотання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Томашпільської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районної державної адміністрації та висновки постійних комісій районної ради з питань бюджету, роботи промисловості, транспорту, зв’язку, енергозбереження, розвитку малого і середнього підприємництва 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операції, районна рада 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ВИРІШИЛА: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460CC" w:rsidRPr="0019319D" w:rsidRDefault="009460CC" w:rsidP="0087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Затвердити Комплексну Програму розвитку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комунальної установи </w:t>
      </w:r>
      <w:r w:rsidRPr="0019319D">
        <w:rPr>
          <w:rFonts w:ascii="Times New Roman" w:hAnsi="Times New Roman"/>
          <w:sz w:val="28"/>
          <w:szCs w:val="28"/>
          <w:lang w:eastAsia="uk-UA"/>
        </w:rPr>
        <w:t>«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Томашпільська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центральна районна лікарня» на 2016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19319D">
        <w:rPr>
          <w:rFonts w:ascii="Times New Roman" w:hAnsi="Times New Roman"/>
          <w:sz w:val="28"/>
          <w:szCs w:val="28"/>
          <w:lang w:eastAsia="uk-UA"/>
        </w:rPr>
        <w:t>2020 роки (додається).</w:t>
      </w:r>
    </w:p>
    <w:p w:rsidR="009460CC" w:rsidRPr="0019319D" w:rsidRDefault="009460CC" w:rsidP="0087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Pr="0019319D">
        <w:rPr>
          <w:rFonts w:ascii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</w:t>
      </w:r>
      <w:r>
        <w:rPr>
          <w:rFonts w:ascii="Times New Roman" w:hAnsi="Times New Roman"/>
          <w:sz w:val="28"/>
          <w:szCs w:val="28"/>
          <w:lang w:eastAsia="uk-UA"/>
        </w:rPr>
        <w:t>і комісії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 (Кісь С.М.) 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Зат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19319D">
        <w:rPr>
          <w:rFonts w:ascii="Times New Roman" w:hAnsi="Times New Roman"/>
          <w:sz w:val="28"/>
          <w:szCs w:val="28"/>
          <w:lang w:eastAsia="uk-UA"/>
        </w:rPr>
        <w:t>рка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В.І).</w:t>
      </w:r>
    </w:p>
    <w:p w:rsidR="009460CC" w:rsidRPr="0019319D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Голова районної ради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ab/>
        <w:t xml:space="preserve">Д. </w:t>
      </w:r>
      <w:proofErr w:type="spellStart"/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Коритчук</w:t>
      </w:r>
      <w:proofErr w:type="spellEnd"/>
    </w:p>
    <w:p w:rsidR="009460CC" w:rsidRDefault="009460CC" w:rsidP="001931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E63863" w:rsidRDefault="00E63863" w:rsidP="0019319D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eastAsia="uk-UA"/>
        </w:rPr>
      </w:pPr>
    </w:p>
    <w:p w:rsidR="009460CC" w:rsidRPr="0019319D" w:rsidRDefault="009460CC" w:rsidP="0019319D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eastAsia="uk-UA"/>
        </w:rPr>
      </w:pPr>
      <w:r w:rsidRPr="0019319D">
        <w:rPr>
          <w:rFonts w:ascii="Times New Roman" w:hAnsi="Times New Roman"/>
          <w:i/>
          <w:sz w:val="20"/>
          <w:szCs w:val="20"/>
          <w:lang w:eastAsia="uk-UA"/>
        </w:rPr>
        <w:lastRenderedPageBreak/>
        <w:t>ЗАТВЕРДЖЕНО</w:t>
      </w:r>
    </w:p>
    <w:p w:rsidR="009460CC" w:rsidRDefault="009460CC" w:rsidP="0019319D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eastAsia="uk-UA"/>
        </w:rPr>
      </w:pPr>
      <w:r>
        <w:rPr>
          <w:rFonts w:ascii="Times New Roman" w:hAnsi="Times New Roman"/>
          <w:i/>
          <w:sz w:val="20"/>
          <w:szCs w:val="20"/>
          <w:lang w:eastAsia="uk-UA"/>
        </w:rPr>
        <w:t xml:space="preserve">рішення 6 </w:t>
      </w:r>
      <w:r w:rsidRPr="0019319D">
        <w:rPr>
          <w:rFonts w:ascii="Times New Roman" w:hAnsi="Times New Roman"/>
          <w:i/>
          <w:sz w:val="20"/>
          <w:szCs w:val="20"/>
          <w:lang w:eastAsia="uk-UA"/>
        </w:rPr>
        <w:t xml:space="preserve"> сесії </w:t>
      </w:r>
      <w:r>
        <w:rPr>
          <w:rFonts w:ascii="Times New Roman" w:hAnsi="Times New Roman"/>
          <w:i/>
          <w:sz w:val="20"/>
          <w:szCs w:val="20"/>
          <w:lang w:eastAsia="uk-UA"/>
        </w:rPr>
        <w:t xml:space="preserve">районної ради </w:t>
      </w:r>
    </w:p>
    <w:p w:rsidR="009460CC" w:rsidRDefault="009460CC" w:rsidP="0019319D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eastAsia="uk-UA"/>
        </w:rPr>
      </w:pPr>
      <w:r w:rsidRPr="0019319D">
        <w:rPr>
          <w:rFonts w:ascii="Times New Roman" w:hAnsi="Times New Roman"/>
          <w:i/>
          <w:sz w:val="20"/>
          <w:szCs w:val="20"/>
          <w:lang w:eastAsia="uk-UA"/>
        </w:rPr>
        <w:t xml:space="preserve">7 скликання </w:t>
      </w:r>
      <w:r>
        <w:rPr>
          <w:rFonts w:ascii="Times New Roman" w:hAnsi="Times New Roman"/>
          <w:i/>
          <w:sz w:val="20"/>
          <w:szCs w:val="20"/>
          <w:lang w:eastAsia="uk-UA"/>
        </w:rPr>
        <w:t>№</w:t>
      </w:r>
      <w:r w:rsidR="00E63863">
        <w:rPr>
          <w:rFonts w:ascii="Times New Roman" w:hAnsi="Times New Roman"/>
          <w:i/>
          <w:sz w:val="20"/>
          <w:szCs w:val="20"/>
          <w:lang w:eastAsia="uk-UA"/>
        </w:rPr>
        <w:t>110</w:t>
      </w:r>
    </w:p>
    <w:p w:rsidR="009460CC" w:rsidRPr="0019319D" w:rsidRDefault="009460CC" w:rsidP="0019319D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eastAsia="uk-UA"/>
        </w:rPr>
      </w:pPr>
      <w:r>
        <w:rPr>
          <w:rFonts w:ascii="Times New Roman" w:hAnsi="Times New Roman"/>
          <w:i/>
          <w:sz w:val="20"/>
          <w:szCs w:val="20"/>
          <w:lang w:eastAsia="uk-UA"/>
        </w:rPr>
        <w:t xml:space="preserve">від 22 липня </w:t>
      </w:r>
      <w:r w:rsidRPr="0019319D">
        <w:rPr>
          <w:rFonts w:ascii="Times New Roman" w:hAnsi="Times New Roman"/>
          <w:i/>
          <w:sz w:val="20"/>
          <w:szCs w:val="20"/>
          <w:lang w:eastAsia="uk-UA"/>
        </w:rPr>
        <w:t>2016 року</w:t>
      </w: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9460CC" w:rsidRDefault="009460CC" w:rsidP="0019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sz w:val="28"/>
          <w:szCs w:val="28"/>
          <w:lang w:eastAsia="uk-UA"/>
        </w:rPr>
        <w:t>Комплексна Програма розвитку</w:t>
      </w: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sz w:val="28"/>
          <w:szCs w:val="28"/>
          <w:lang w:eastAsia="uk-UA"/>
        </w:rPr>
        <w:t>комунальної  установи «</w:t>
      </w:r>
      <w:proofErr w:type="spellStart"/>
      <w:r w:rsidRPr="0019319D">
        <w:rPr>
          <w:rFonts w:ascii="Times New Roman" w:hAnsi="Times New Roman"/>
          <w:b/>
          <w:sz w:val="28"/>
          <w:szCs w:val="28"/>
          <w:lang w:eastAsia="uk-UA"/>
        </w:rPr>
        <w:t>Томашпільська</w:t>
      </w:r>
      <w:proofErr w:type="spellEnd"/>
      <w:r w:rsidRPr="0019319D">
        <w:rPr>
          <w:rFonts w:ascii="Times New Roman" w:hAnsi="Times New Roman"/>
          <w:b/>
          <w:sz w:val="28"/>
          <w:szCs w:val="28"/>
          <w:lang w:eastAsia="uk-UA"/>
        </w:rPr>
        <w:t xml:space="preserve"> центральна районна лікарн</w:t>
      </w:r>
      <w:r>
        <w:rPr>
          <w:rFonts w:ascii="Times New Roman" w:hAnsi="Times New Roman"/>
          <w:b/>
          <w:sz w:val="28"/>
          <w:szCs w:val="28"/>
          <w:lang w:eastAsia="uk-UA"/>
        </w:rPr>
        <w:t>я</w:t>
      </w:r>
      <w:r w:rsidRPr="0019319D">
        <w:rPr>
          <w:rFonts w:ascii="Times New Roman" w:hAnsi="Times New Roman"/>
          <w:b/>
          <w:sz w:val="28"/>
          <w:szCs w:val="28"/>
          <w:lang w:eastAsia="uk-UA"/>
        </w:rPr>
        <w:t>» на 2016 - 2020 р</w:t>
      </w:r>
      <w:r>
        <w:rPr>
          <w:rFonts w:ascii="Times New Roman" w:hAnsi="Times New Roman"/>
          <w:b/>
          <w:sz w:val="28"/>
          <w:szCs w:val="28"/>
          <w:lang w:eastAsia="uk-UA"/>
        </w:rPr>
        <w:t>оки</w:t>
      </w:r>
    </w:p>
    <w:p w:rsidR="009460CC" w:rsidRPr="0019319D" w:rsidRDefault="009460CC" w:rsidP="00877380">
      <w:pPr>
        <w:spacing w:after="0" w:line="240" w:lineRule="auto"/>
        <w:rPr>
          <w:rFonts w:cs="Calibri"/>
          <w:b/>
          <w:bCs/>
          <w:lang w:eastAsia="uk-UA"/>
        </w:rPr>
      </w:pPr>
    </w:p>
    <w:tbl>
      <w:tblPr>
        <w:tblW w:w="915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458"/>
        <w:gridCol w:w="3058"/>
      </w:tblGrid>
      <w:tr w:rsidR="009460CC" w:rsidRPr="0019319D" w:rsidTr="0019319D">
        <w:trPr>
          <w:trHeight w:hRule="exact" w:val="7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Ініціатор розроблення програми: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Томашпільська</w:t>
            </w:r>
            <w:proofErr w:type="spellEnd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 xml:space="preserve"> ЦРЛ</w:t>
            </w:r>
          </w:p>
        </w:tc>
      </w:tr>
      <w:tr w:rsidR="009460CC" w:rsidRPr="0019319D" w:rsidTr="0019319D">
        <w:trPr>
          <w:trHeight w:hRule="exact"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Розробник програми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Томашпільська</w:t>
            </w:r>
            <w:proofErr w:type="spellEnd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 xml:space="preserve"> ЦРЛ</w:t>
            </w:r>
          </w:p>
        </w:tc>
      </w:tr>
      <w:tr w:rsidR="009460CC" w:rsidRPr="0019319D" w:rsidTr="0019319D">
        <w:trPr>
          <w:trHeight w:hRule="exact"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Відповідальний виконавець програми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Томашпільська</w:t>
            </w:r>
            <w:proofErr w:type="spellEnd"/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 xml:space="preserve"> ЦРЛ</w:t>
            </w:r>
          </w:p>
        </w:tc>
      </w:tr>
      <w:tr w:rsidR="009460CC" w:rsidRPr="0019319D" w:rsidTr="0019319D">
        <w:trPr>
          <w:trHeight w:hRule="exact" w:val="9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Учасники програми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Районна рада</w:t>
            </w:r>
          </w:p>
        </w:tc>
      </w:tr>
      <w:tr w:rsidR="009460CC" w:rsidRPr="0019319D" w:rsidTr="0019319D">
        <w:trPr>
          <w:trHeight w:hRule="exact" w:val="7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Терміни реалізації програми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2016-2020 р.</w:t>
            </w:r>
          </w:p>
        </w:tc>
      </w:tr>
      <w:tr w:rsidR="009460CC" w:rsidRPr="0019319D" w:rsidTr="0019319D">
        <w:trPr>
          <w:trHeight w:hRule="exact" w:val="9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 xml:space="preserve">Перелік місцевих бюджетів, які приймають участь у виконанні програми </w:t>
            </w:r>
            <w:r w:rsidRPr="0019319D">
              <w:rPr>
                <w:rFonts w:ascii="Times New Roman" w:hAnsi="Times New Roman"/>
                <w:i/>
                <w:iCs/>
                <w:sz w:val="19"/>
                <w:szCs w:val="19"/>
                <w:lang w:eastAsia="uk-UA"/>
              </w:rPr>
              <w:t>(для комплексних програм)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Місцевий бюджет</w:t>
            </w:r>
          </w:p>
        </w:tc>
      </w:tr>
      <w:tr w:rsidR="009460CC" w:rsidRPr="0019319D" w:rsidTr="0019319D">
        <w:trPr>
          <w:trHeight w:hRule="exact" w:val="9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lang w:eastAsia="uk-UA"/>
              </w:rPr>
            </w:pPr>
            <w:r w:rsidRPr="0019319D">
              <w:rPr>
                <w:rFonts w:ascii="Times New Roman" w:hAnsi="Times New Roman"/>
                <w:lang w:eastAsia="uk-UA"/>
              </w:rPr>
              <w:t>22533,5</w:t>
            </w:r>
          </w:p>
        </w:tc>
      </w:tr>
      <w:tr w:rsidR="009460CC" w:rsidRPr="0019319D" w:rsidTr="0019319D">
        <w:trPr>
          <w:trHeight w:hRule="exact" w:val="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в тому числі бюджетних коштів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60CC" w:rsidRPr="0019319D" w:rsidTr="0019319D">
        <w:trPr>
          <w:trHeight w:hRule="exact" w:val="7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- в тому числі кошти місцевого бюджету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22533,5</w:t>
            </w:r>
          </w:p>
        </w:tc>
      </w:tr>
      <w:tr w:rsidR="009460CC" w:rsidRPr="0019319D" w:rsidTr="0019319D">
        <w:trPr>
          <w:trHeight w:hRule="exact" w:val="1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9319D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Основні джерела фінансування програми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19"/>
                <w:szCs w:val="19"/>
                <w:lang w:eastAsia="uk-UA"/>
              </w:rPr>
              <w:t>Місцевий бюджет, інші джерела фінансування, не заборонені законодавством України</w:t>
            </w:r>
          </w:p>
        </w:tc>
      </w:tr>
    </w:tbl>
    <w:p w:rsidR="009460CC" w:rsidRPr="0019319D" w:rsidRDefault="009460CC" w:rsidP="0087738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Загальні положення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Комплексна Програма розвитку</w:t>
      </w:r>
      <w:r>
        <w:rPr>
          <w:rFonts w:ascii="Times New Roman" w:hAnsi="Times New Roman"/>
          <w:sz w:val="28"/>
          <w:szCs w:val="28"/>
          <w:lang w:eastAsia="uk-UA"/>
        </w:rPr>
        <w:t xml:space="preserve"> комунальної установи 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Томашпільська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центральна районна лікарня» на 2016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2020 роки» розроблена на підставі ст.307 «Програми Кабінету Міністрів України та Стратегії сталого розвитку» Україна, виконання Закону України «Про затвердження Загальнодержавної програми боротьби з онкологічними захворюваннями на період до 2016 року» та рішення 10 сесії 6 скликання Вінницької обласної ради від 14.02.2012 р. № 279 «Про обласну програму боротьби з онкологічними захворюваннями на період до 2016 року», Закону України від 16.10.2012 р. № 5451- VI «Про затвердження загальнодержавної цільової соціальної програми протидії захворюванню на туберкульоз на 2012 - 2016 роки» та рішення 14 сесії 6 скликання Вінницької обласної ради від 19.02.2013 р. № 484 «Про обласну програму протидії захворюванню на </w:t>
      </w:r>
      <w:r w:rsidRPr="0019319D">
        <w:rPr>
          <w:rFonts w:ascii="Times New Roman" w:hAnsi="Times New Roman"/>
          <w:sz w:val="28"/>
          <w:szCs w:val="28"/>
          <w:lang w:eastAsia="uk-UA"/>
        </w:rPr>
        <w:lastRenderedPageBreak/>
        <w:t>туберкульоз на 2013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19319D">
        <w:rPr>
          <w:rFonts w:ascii="Times New Roman" w:hAnsi="Times New Roman"/>
          <w:sz w:val="28"/>
          <w:szCs w:val="28"/>
          <w:lang w:eastAsia="uk-UA"/>
        </w:rPr>
        <w:t>2016 роки», загальнодержавної програми «Національний план дій щодо реалізації Конвенції (ЗОН про права дитини на період до 2016 року», та з метою реалізації державної політики у сфері охорони здоров’я щодо задоволення потреб населення району надання якісної медичної допомоги на вторинному рівні.</w:t>
      </w:r>
    </w:p>
    <w:p w:rsidR="009460CC" w:rsidRDefault="009460CC" w:rsidP="00283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Програма охоплює всі напрямки роботи з метою збереження здоров’я населення, попередження основних груп захворювань, соціальний та медичний супровід всіх диспансерних груп населення, впровадження державних та обласних медичних програм, удосконалення медичного забезпечення.</w:t>
      </w:r>
    </w:p>
    <w:p w:rsidR="009460CC" w:rsidRPr="00283FEF" w:rsidRDefault="009460CC" w:rsidP="00283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Актуальність створення програми</w:t>
      </w:r>
    </w:p>
    <w:p w:rsidR="009460CC" w:rsidRDefault="009460CC" w:rsidP="00283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На рівні держави прийнято медичні програми різного цілеспрямування. Ними охоплено основні проблемні питання стану здоров’я нації. З метою концентрації проблемних питань та їх комплексного вирішення, уникнення дублювання тотожних заходів є нагальна потреба в прийнятий даної комплексної програми.</w:t>
      </w:r>
    </w:p>
    <w:p w:rsidR="009460CC" w:rsidRPr="00283FEF" w:rsidRDefault="009460CC" w:rsidP="00283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Мета програми:</w:t>
      </w:r>
    </w:p>
    <w:p w:rsidR="009460CC" w:rsidRDefault="009460CC" w:rsidP="00283F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Метою комплексної Програми розвитку </w:t>
      </w:r>
      <w:r>
        <w:rPr>
          <w:rFonts w:ascii="Times New Roman" w:hAnsi="Times New Roman"/>
          <w:sz w:val="28"/>
          <w:szCs w:val="28"/>
          <w:lang w:eastAsia="uk-UA"/>
        </w:rPr>
        <w:t>комунальної установи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Томашпільська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центральна районна лікарня» на 2016 - 2020 роки є зниження захворюваності, інвалідності і смертності населення, підвищення якості та ефективності надання медичної допомоги, забезпечення соціальної справедливості і захисту прав громадян на охорону здоров'я, профілактика захворювань.</w:t>
      </w:r>
    </w:p>
    <w:p w:rsidR="009460CC" w:rsidRDefault="009460CC" w:rsidP="00283F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460CC" w:rsidRPr="0019319D" w:rsidRDefault="009460CC" w:rsidP="00283FE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Шляхи, методи і засоби реалізації програми.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Програма розрахована на 5 років з 2016 до 2020 р.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Програма складається з підпрограм (розділів) для конкретизації завдань, методів розв’язання проблем та уточнення критеріїв і показників результативності виконання програми.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Завдання і заходи кожної з підпрограм направлені на виконання затверджених державних та обласних медичних програм, адаптованих до рівня потреби та можливостей району.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Реалізація програми буде здійснюватись шляхом співпраці медичних закладів та органів місцевого самоврядування у визначених напрямках (підпрограмах).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Програма складається з 5 підпрограм, а саме:</w:t>
      </w:r>
    </w:p>
    <w:p w:rsidR="009460CC" w:rsidRPr="0019319D" w:rsidRDefault="009460CC" w:rsidP="008773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Поліпшення матеріально - технічної бази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Томашпільської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ЦРЛ</w:t>
      </w:r>
    </w:p>
    <w:p w:rsidR="009460CC" w:rsidRPr="0019319D" w:rsidRDefault="009460CC" w:rsidP="008773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Туберкульоз</w:t>
      </w:r>
    </w:p>
    <w:p w:rsidR="009460CC" w:rsidRPr="0019319D" w:rsidRDefault="009460CC" w:rsidP="008773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Імунопрофілактика</w:t>
      </w:r>
    </w:p>
    <w:p w:rsidR="009460CC" w:rsidRPr="0019319D" w:rsidRDefault="009460CC" w:rsidP="008773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Цукровий діабет</w:t>
      </w:r>
    </w:p>
    <w:p w:rsidR="009460CC" w:rsidRPr="0019319D" w:rsidRDefault="009460CC" w:rsidP="008773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Медичне забезпечення пільгових та інших категорій населення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9460CC" w:rsidRPr="0019319D" w:rsidRDefault="009460CC" w:rsidP="0019319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Пріоритетами медичної програми району є: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Вторинна медична допомога має бути кваліфікованою, своєчасною, доступною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lastRenderedPageBreak/>
        <w:t>Основна цінність - збереження здоров’я людини та профілактична направл</w:t>
      </w:r>
      <w:r>
        <w:rPr>
          <w:rFonts w:ascii="Times New Roman" w:hAnsi="Times New Roman"/>
          <w:sz w:val="28"/>
          <w:szCs w:val="28"/>
          <w:lang w:eastAsia="uk-UA"/>
        </w:rPr>
        <w:t>еність заходів з основних медико-</w:t>
      </w:r>
      <w:r w:rsidRPr="0019319D">
        <w:rPr>
          <w:rFonts w:ascii="Times New Roman" w:hAnsi="Times New Roman"/>
          <w:sz w:val="28"/>
          <w:szCs w:val="28"/>
          <w:lang w:eastAsia="uk-UA"/>
        </w:rPr>
        <w:t>соціальних проблем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Забезпечення підготовки медичних кадрів для ЦРЛ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Підвищення вмотивованості та якості медичної допомоги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19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Створення умов для діяльності медичних закладів, покращення матеріально - технічної бази та відповідність затвердженим нормативам оснащення.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Програма ґрунтується на засадничих принципах:</w:t>
      </w:r>
    </w:p>
    <w:p w:rsidR="009460CC" w:rsidRPr="0019319D" w:rsidRDefault="009460CC" w:rsidP="001931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відповідності законодавству та нормативної коректності</w:t>
      </w:r>
    </w:p>
    <w:p w:rsidR="009460CC" w:rsidRPr="0019319D" w:rsidRDefault="009460CC" w:rsidP="001931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системності та наступності</w:t>
      </w:r>
    </w:p>
    <w:p w:rsidR="009460CC" w:rsidRPr="0019319D" w:rsidRDefault="009460CC" w:rsidP="001931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аналітичності та достовірності</w:t>
      </w:r>
    </w:p>
    <w:p w:rsidR="009460CC" w:rsidRPr="0019319D" w:rsidRDefault="009460CC" w:rsidP="001931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доцільності та ефективності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193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Завдання програми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Визначити конкретні заходи та об’єми фінансування кожного напрямку в питанні збереження здоров’я жителів району та забезпеченні доступності, якості та своєчасності медичної допомоги на вторинному рівні.</w:t>
      </w:r>
    </w:p>
    <w:p w:rsidR="009460CC" w:rsidRDefault="009460CC" w:rsidP="006E3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Фінансове забезпечення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Фінансове забезпечення здійснюється в межах коштів, передбачених місцевим бюджетом, а також із залученням інших коштів, не заборонених чинним законодавством.</w:t>
      </w:r>
    </w:p>
    <w:p w:rsidR="009460CC" w:rsidRDefault="009460CC" w:rsidP="006E3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Зведена таблиця потреби коштів на фінансування напрямків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Програми</w:t>
      </w:r>
    </w:p>
    <w:tbl>
      <w:tblPr>
        <w:tblW w:w="91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4855"/>
        <w:gridCol w:w="3180"/>
      </w:tblGrid>
      <w:tr w:rsidR="009460CC" w:rsidRPr="0019319D" w:rsidTr="0019319D">
        <w:trPr>
          <w:trHeight w:hRule="exact" w:val="9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№</w:t>
            </w:r>
          </w:p>
          <w:p w:rsidR="009460CC" w:rsidRPr="006E383C" w:rsidRDefault="009460CC" w:rsidP="006E383C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п/</w:t>
            </w:r>
            <w:proofErr w:type="spellStart"/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Підпрограми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Фінансування на 5 років (всього тис. </w:t>
            </w:r>
            <w:proofErr w:type="spellStart"/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грн</w:t>
            </w:r>
            <w:proofErr w:type="spellEnd"/>
            <w:r w:rsidRPr="006E38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9460CC" w:rsidRPr="0019319D" w:rsidTr="0019319D">
        <w:trPr>
          <w:trHeight w:hRule="exact" w:val="6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Поліпшення матеріально - технічної бази медичних закладів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19678,5</w:t>
            </w:r>
          </w:p>
        </w:tc>
      </w:tr>
      <w:tr w:rsidR="009460CC" w:rsidRPr="0019319D" w:rsidTr="0019319D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Туберкульоз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350</w:t>
            </w:r>
          </w:p>
        </w:tc>
      </w:tr>
      <w:tr w:rsidR="009460CC" w:rsidRPr="0019319D" w:rsidTr="0019319D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Імунопрофілактика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</w:tr>
      <w:tr w:rsidR="009460CC" w:rsidRPr="0019319D" w:rsidTr="0019319D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Цукровий діабет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</w:tr>
      <w:tr w:rsidR="009460CC" w:rsidRPr="0019319D" w:rsidTr="0019319D">
        <w:trPr>
          <w:trHeight w:hRule="exact" w:val="7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Медичне забезпечення пільгових та інших категорій населення</w:t>
            </w:r>
          </w:p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1878</w:t>
            </w:r>
          </w:p>
        </w:tc>
      </w:tr>
      <w:tr w:rsidR="009460CC" w:rsidRPr="0019319D" w:rsidTr="0019319D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uk-UA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19319D" w:rsidRDefault="009460CC" w:rsidP="0019319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319D">
              <w:rPr>
                <w:rFonts w:ascii="Times New Roman" w:hAnsi="Times New Roman"/>
                <w:sz w:val="24"/>
                <w:szCs w:val="24"/>
                <w:lang w:eastAsia="uk-UA"/>
              </w:rPr>
              <w:t>22533,5</w:t>
            </w:r>
          </w:p>
        </w:tc>
      </w:tr>
    </w:tbl>
    <w:p w:rsidR="009460CC" w:rsidRPr="0019319D" w:rsidRDefault="009460CC" w:rsidP="00877380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br w:type="page"/>
      </w: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Механізм управління та здійсн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ення контролю за виконанням 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Програми</w:t>
      </w:r>
    </w:p>
    <w:p w:rsidR="009460CC" w:rsidRDefault="009460CC" w:rsidP="006E383C">
      <w:pPr>
        <w:shd w:val="clear" w:color="auto" w:fill="FFFFFF"/>
        <w:tabs>
          <w:tab w:val="left" w:pos="567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 xml:space="preserve">Організація виконання Програми покладається на </w:t>
      </w:r>
      <w:proofErr w:type="spellStart"/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>Томашпільську</w:t>
      </w:r>
      <w:proofErr w:type="spellEnd"/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 xml:space="preserve"> районну державну </w:t>
      </w:r>
      <w:r w:rsidRPr="0019319D">
        <w:rPr>
          <w:rFonts w:ascii="Times New Roman" w:hAnsi="Times New Roman"/>
          <w:spacing w:val="-4"/>
          <w:sz w:val="28"/>
          <w:szCs w:val="28"/>
          <w:lang w:eastAsia="ru-RU"/>
        </w:rPr>
        <w:t>адміністрацію.</w:t>
      </w:r>
      <w:r w:rsidRPr="0019319D">
        <w:rPr>
          <w:rFonts w:ascii="Times New Roman" w:hAnsi="Times New Roman"/>
          <w:sz w:val="28"/>
          <w:szCs w:val="28"/>
          <w:lang w:eastAsia="ru-RU"/>
        </w:rPr>
        <w:tab/>
      </w:r>
    </w:p>
    <w:p w:rsidR="009460CC" w:rsidRPr="0019319D" w:rsidRDefault="009460CC" w:rsidP="006E383C">
      <w:pPr>
        <w:shd w:val="clear" w:color="auto" w:fill="FFFFFF"/>
        <w:tabs>
          <w:tab w:val="left" w:pos="567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>Координація виконання Програми покладається на комунальну установу «</w:t>
      </w:r>
      <w:proofErr w:type="spellStart"/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>Томашпільська</w:t>
      </w:r>
      <w:proofErr w:type="spellEnd"/>
      <w:r w:rsidRPr="0019319D">
        <w:rPr>
          <w:rFonts w:ascii="Times New Roman" w:hAnsi="Times New Roman"/>
          <w:spacing w:val="1"/>
          <w:sz w:val="28"/>
          <w:szCs w:val="28"/>
          <w:lang w:eastAsia="ru-RU"/>
        </w:rPr>
        <w:t xml:space="preserve"> центральна районна лікарня»  </w:t>
      </w:r>
      <w:r w:rsidRPr="0019319D">
        <w:rPr>
          <w:rFonts w:ascii="Times New Roman" w:hAnsi="Times New Roman"/>
          <w:sz w:val="28"/>
          <w:szCs w:val="28"/>
          <w:lang w:eastAsia="ru-RU"/>
        </w:rPr>
        <w:t>.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Очікувані результати</w:t>
      </w:r>
    </w:p>
    <w:p w:rsidR="009460CC" w:rsidRPr="0019319D" w:rsidRDefault="009460CC" w:rsidP="006E38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Виконання Програми забезпечить: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Своєчасно та послідовно виконувати завдання, направлені на збереження здоров’я всіх груп населення району, надання якісної медичної допомоги на вторинному рівні.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Реалізацію затверджених державних та обласних медичних програм Виконання заходів з основних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медико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- соціальних програм, адаптованих до рівня потреби та можливостей закладу. Приведення матеріально - технічної бази ЦРЛ до затверджених нормативних вимог, створення умов дотримання санітарно гігієнічного та протиепідемічного режимів.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Організаційне забезпечення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Для виконання завдань , визначених Програмою, розроблено систему заходів, що відображені у цільових підпрограмах розвитку центральної районної лікарні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Матеріально - технічне забезпечення ЦРЛ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Проведення профілактичних заходів щодо попередження основних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>медико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19319D">
        <w:rPr>
          <w:rFonts w:ascii="Times New Roman" w:hAnsi="Times New Roman"/>
          <w:sz w:val="28"/>
          <w:szCs w:val="28"/>
          <w:lang w:eastAsia="uk-UA"/>
        </w:rPr>
        <w:t>соціальних хвороб, надання кваліфікованої вторинної медичної допомоги.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6E3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Прикінцеві положення</w:t>
      </w:r>
    </w:p>
    <w:p w:rsidR="009460CC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Програма визначає концептуальну мету, завдання і шляхи розвитку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Томашпільської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ЦРЛ на 2016 - 2020 роки, враховуючи стратегічні завдання та прогнозовані обсяги фінансового забезпечення.</w:t>
      </w:r>
    </w:p>
    <w:p w:rsidR="009460CC" w:rsidRPr="0019319D" w:rsidRDefault="009460CC" w:rsidP="006E3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Програма має відкритий характер і може доповнюватись ( змінюватись) в установленому чинним законодавством порядку в залежності від потреб поточного моменту (прийняття нових нормативних актів, затвердження та доповнення регіональних медичних програм, змінних фінансово - господарських можливостей району).</w:t>
      </w:r>
    </w:p>
    <w:p w:rsidR="009460CC" w:rsidRPr="0019319D" w:rsidRDefault="009460CC" w:rsidP="00877380">
      <w:pPr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br w:type="page"/>
      </w:r>
    </w:p>
    <w:p w:rsidR="009460CC" w:rsidRPr="006E383C" w:rsidRDefault="009460CC" w:rsidP="006E38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383C">
        <w:rPr>
          <w:rFonts w:ascii="Times New Roman" w:hAnsi="Times New Roman"/>
          <w:b/>
          <w:bCs/>
          <w:sz w:val="28"/>
          <w:szCs w:val="28"/>
          <w:lang w:eastAsia="uk-UA"/>
        </w:rPr>
        <w:t>Підпрограма № 1 «Поліпшення матеріально технічної бази центральної районної лікарні»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 метою забезпечення функціонування ЦРЛ в 2014 - роках виконано великий об’єм робіт з поліпшення матеріально - технічної бази. Для покращення лікувально-діагностичного процесу за 2014-2015р. придбано медичне обладнання: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>д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тальний монітор, 4 пульсометри,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опромінювач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для фототерапії, дитячий матра</w:t>
      </w:r>
      <w:r>
        <w:rPr>
          <w:rFonts w:ascii="Times New Roman" w:hAnsi="Times New Roman"/>
          <w:sz w:val="28"/>
          <w:szCs w:val="28"/>
          <w:lang w:eastAsia="uk-UA"/>
        </w:rPr>
        <w:t>ц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з підігрівом,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пеленальний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столик, високо електрокоагулятор, хірургічний інструментарій, дитячі ваги,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>ки</w:t>
      </w:r>
      <w:r>
        <w:rPr>
          <w:rFonts w:ascii="Times New Roman" w:hAnsi="Times New Roman"/>
          <w:sz w:val="28"/>
          <w:szCs w:val="28"/>
          <w:lang w:eastAsia="uk-UA"/>
        </w:rPr>
        <w:t>с</w:t>
      </w:r>
      <w:r w:rsidRPr="0019319D">
        <w:rPr>
          <w:rFonts w:ascii="Times New Roman" w:hAnsi="Times New Roman"/>
          <w:sz w:val="28"/>
          <w:szCs w:val="28"/>
          <w:lang w:eastAsia="uk-UA"/>
        </w:rPr>
        <w:t>невий датчик до апарату штучної вентиляції легень, мікр</w:t>
      </w:r>
      <w:r>
        <w:rPr>
          <w:rFonts w:ascii="Times New Roman" w:hAnsi="Times New Roman"/>
          <w:sz w:val="28"/>
          <w:szCs w:val="28"/>
          <w:lang w:eastAsia="uk-UA"/>
        </w:rPr>
        <w:t>о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скоп, медичні штативи, два отоскопи,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холтерівські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монітори ЕКГ та АТ,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алкотестер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>, утиліз</w:t>
      </w:r>
      <w:r>
        <w:rPr>
          <w:rFonts w:ascii="Times New Roman" w:hAnsi="Times New Roman"/>
          <w:sz w:val="28"/>
          <w:szCs w:val="28"/>
          <w:lang w:eastAsia="uk-UA"/>
        </w:rPr>
        <w:t xml:space="preserve">атори голок і шприців,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юлайзери-</w:t>
      </w:r>
      <w:r w:rsidRPr="0019319D">
        <w:rPr>
          <w:rFonts w:ascii="Times New Roman" w:hAnsi="Times New Roman"/>
          <w:sz w:val="28"/>
          <w:szCs w:val="28"/>
          <w:lang w:eastAsia="uk-UA"/>
        </w:rPr>
        <w:t>небулайзери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та інше медичне обладнання, проведений ремонт рен</w:t>
      </w:r>
      <w:r>
        <w:rPr>
          <w:rFonts w:ascii="Times New Roman" w:hAnsi="Times New Roman"/>
          <w:sz w:val="28"/>
          <w:szCs w:val="28"/>
          <w:lang w:eastAsia="uk-UA"/>
        </w:rPr>
        <w:t>т</w:t>
      </w:r>
      <w:r w:rsidRPr="0019319D">
        <w:rPr>
          <w:rFonts w:ascii="Times New Roman" w:hAnsi="Times New Roman"/>
          <w:sz w:val="28"/>
          <w:szCs w:val="28"/>
          <w:lang w:eastAsia="uk-UA"/>
        </w:rPr>
        <w:t>ген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>апарата.</w:t>
      </w:r>
    </w:p>
    <w:p w:rsidR="009460CC" w:rsidRPr="0019319D" w:rsidRDefault="009460CC" w:rsidP="006E38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Для зміцнення матеріально-технічної бази закладу за 2014-2015р. придбано 7 пральних машин, холодильник, електроплита, закуплено 5 одиниць комп'ютерної техніки, придбано  м'який інвентар. Ремонт кабінету планування сім'ї, ремонт цоколя будівлі головного корпусу, ремонт частини приміщень дитячого відділення, утеплена теплотраса, влаштовано водовідводи з дахів будівель головного корпусу, замінено 1 газовий котел в теплопункті. З метою енергозбереження  замінили 13 дверних блоків та 11 віконних блоків у будівлях закладу, внутрішнє освітлення частково переведене не енергозберігаюче.</w:t>
      </w:r>
    </w:p>
    <w:p w:rsidR="009460CC" w:rsidRDefault="009460CC" w:rsidP="006E38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6E38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Мета програми: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Покращення матеріально - технічних бази ЦРЛ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Приведення матеріально - технічної бази до нормативних вимог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Оснащення ЦРЛ медичним обладнанням та устаткуванням у відповідності до затвердженого табелю оснащення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Очікуванні результати: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Відповідність матеріально - технічної бази ЦРЛ санітарно - гігієнічним вимогам та затвердженому табелю оснащення.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Створення належних умов для надання визначеного обсягу медичної допомоги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Впровадження заходів з енергозбереження</w:t>
      </w:r>
    </w:p>
    <w:p w:rsidR="009460CC" w:rsidRPr="0019319D" w:rsidRDefault="009460CC" w:rsidP="006E38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br w:type="page"/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Заходи щодо реалізації підпрограми:</w:t>
      </w:r>
    </w:p>
    <w:tbl>
      <w:tblPr>
        <w:tblpPr w:leftFromText="180" w:rightFromText="180" w:vertAnchor="text" w:horzAnchor="margin" w:tblpXSpec="center" w:tblpY="259"/>
        <w:tblW w:w="10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3408"/>
        <w:gridCol w:w="1803"/>
        <w:gridCol w:w="2832"/>
        <w:gridCol w:w="1645"/>
      </w:tblGrid>
      <w:tr w:rsidR="009460CC" w:rsidRPr="0019319D" w:rsidTr="00283FEF">
        <w:trPr>
          <w:trHeight w:hRule="exact" w:val="5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</w:t>
            </w:r>
          </w:p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п/</w:t>
            </w:r>
            <w:proofErr w:type="spellStart"/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Термін</w:t>
            </w:r>
          </w:p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Сума</w:t>
            </w:r>
          </w:p>
          <w:p w:rsidR="009460CC" w:rsidRPr="006E383C" w:rsidRDefault="009460CC" w:rsidP="006E38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(тис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грн.</w:t>
            </w:r>
            <w:r w:rsidRPr="006E383C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9460CC" w:rsidRPr="0019319D" w:rsidTr="00283FEF">
        <w:trPr>
          <w:trHeight w:hRule="exact" w:val="8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Приведення матеріально технічної бази у відповідність до нормативів: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60CC" w:rsidRPr="0019319D" w:rsidTr="00283FEF">
        <w:trPr>
          <w:trHeight w:hRule="exact" w:val="5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Реконструкція даху головного корпусу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РДА,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ЦР 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2022,473</w:t>
            </w:r>
          </w:p>
        </w:tc>
      </w:tr>
      <w:tr w:rsidR="009460CC" w:rsidRPr="0019319D" w:rsidTr="00283FEF">
        <w:trPr>
          <w:trHeight w:hRule="exact" w:val="8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Реконструкція даху поліклініки та посилення конструкцій галереї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РДА,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845,627</w:t>
            </w:r>
          </w:p>
        </w:tc>
      </w:tr>
      <w:tr w:rsidR="009460CC" w:rsidRPr="0019319D" w:rsidTr="00283FEF">
        <w:trPr>
          <w:trHeight w:hRule="exact"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Завершення реконструкції будівлі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пологово-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гінекологічного відділення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РДА,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3956,4</w:t>
            </w:r>
          </w:p>
        </w:tc>
      </w:tr>
      <w:tr w:rsidR="009460CC" w:rsidRPr="0019319D" w:rsidTr="00283FEF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Заміна вікон та дверей на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енергозберегаючі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усіх будівлях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2018р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140,0</w:t>
            </w:r>
          </w:p>
        </w:tc>
      </w:tr>
      <w:tr w:rsidR="009460CC" w:rsidRPr="0019319D" w:rsidTr="00283FEF">
        <w:trPr>
          <w:trHeight w:hRule="exact" w:val="16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Виготовлення ПКД та капітальний ремонт мереж теплопостачання,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водопоста-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чання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каналізацій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, головного корпусу, будівлі поліклініки та будівлі інфекційного відділення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1000,0</w:t>
            </w:r>
          </w:p>
        </w:tc>
      </w:tr>
      <w:tr w:rsidR="009460CC" w:rsidRPr="0019319D" w:rsidTr="00283FEF">
        <w:trPr>
          <w:trHeight w:hRule="exact" w:val="5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Завершити поточний ремонт приміщень дитячого відділення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650,0</w:t>
            </w:r>
          </w:p>
        </w:tc>
      </w:tr>
      <w:tr w:rsidR="009460CC" w:rsidRPr="0019319D" w:rsidTr="00283FEF">
        <w:trPr>
          <w:trHeight w:hRule="exact"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ПКД та капітальний ремонт інфекційного відділення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Гомашпіль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1800,0</w:t>
            </w:r>
          </w:p>
        </w:tc>
      </w:tr>
      <w:tr w:rsidR="009460CC" w:rsidRPr="0019319D" w:rsidTr="00283FEF">
        <w:trPr>
          <w:trHeight w:hRule="exact" w:val="11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заходів з енергозбереження та впровадження альтернативних видів опалення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60CC" w:rsidRPr="0019319D" w:rsidTr="00283FEF">
        <w:trPr>
          <w:trHeight w:hRule="exact" w:val="8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та встановлення лічильників обліку теплової енергії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55,0</w:t>
            </w:r>
          </w:p>
        </w:tc>
      </w:tr>
      <w:tr w:rsidR="009460CC" w:rsidRPr="0019319D" w:rsidTr="00283FEF">
        <w:trPr>
          <w:trHeight w:hRule="exact" w:val="5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Переведення внутрішнього освітлення на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енергоощадне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60,0</w:t>
            </w:r>
          </w:p>
        </w:tc>
      </w:tr>
      <w:tr w:rsidR="009460CC" w:rsidRPr="0019319D" w:rsidTr="00283FEF">
        <w:trPr>
          <w:trHeight w:hRule="exact" w:val="11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Заміна зношеного технологічного обладнання пральні ( 6 пральних машин та сушильний бак)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600,0</w:t>
            </w:r>
          </w:p>
        </w:tc>
      </w:tr>
      <w:tr w:rsidR="009460CC" w:rsidRPr="0019319D" w:rsidTr="00283FEF">
        <w:trPr>
          <w:trHeight w:hRule="exact" w:val="11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Оснащення закладу у відповідності до затвердженого табеля оснащення: придбання електрокардіографа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РДА.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40,0</w:t>
            </w:r>
          </w:p>
        </w:tc>
      </w:tr>
      <w:tr w:rsidR="009460CC" w:rsidRPr="0019319D" w:rsidTr="00283FEF">
        <w:trPr>
          <w:trHeight w:hRule="exact"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технічного ремонту санітарних автомобілів «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Тойота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80,0</w:t>
            </w:r>
          </w:p>
        </w:tc>
      </w:tr>
      <w:tr w:rsidR="009460CC" w:rsidRPr="0019319D" w:rsidTr="00283FEF">
        <w:trPr>
          <w:trHeight w:hRule="exact" w:val="8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УЗД апарата  з датчиками в акушер-гінекологічне відділення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900,0</w:t>
            </w:r>
          </w:p>
        </w:tc>
      </w:tr>
      <w:tr w:rsidR="009460CC" w:rsidRPr="0019319D" w:rsidTr="00283FEF"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цифрового</w:t>
            </w:r>
          </w:p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рентген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апарата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5000,0</w:t>
            </w:r>
          </w:p>
        </w:tc>
      </w:tr>
      <w:tr w:rsidR="009460CC" w:rsidRPr="0019319D" w:rsidTr="00283FEF">
        <w:trPr>
          <w:trHeight w:hRule="exact" w:val="5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лінійного датчика ,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кардіо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датчика до апарату УЗД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360,0</w:t>
            </w:r>
          </w:p>
        </w:tc>
      </w:tr>
      <w:tr w:rsidR="009460CC" w:rsidRPr="0019319D" w:rsidTr="00283FEF">
        <w:trPr>
          <w:trHeight w:hRule="exact" w:val="8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ультрафіолетової камери для зберігання стерильних інструментів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650,0</w:t>
            </w:r>
          </w:p>
        </w:tc>
      </w:tr>
      <w:tr w:rsidR="009460CC" w:rsidRPr="0019319D" w:rsidTr="00283FEF">
        <w:trPr>
          <w:trHeight w:hRule="exact" w:val="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 санітарного автомобіля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1500,0</w:t>
            </w:r>
          </w:p>
        </w:tc>
      </w:tr>
      <w:tr w:rsidR="009460CC" w:rsidRPr="0019319D" w:rsidTr="00283FEF">
        <w:trPr>
          <w:trHeight w:hRule="exact" w:val="4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пневмотонометра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19,0</w:t>
            </w:r>
          </w:p>
        </w:tc>
      </w:tr>
      <w:tr w:rsidR="009460CC" w:rsidRPr="0019319D" w:rsidTr="00283FEF">
        <w:trPr>
          <w:trHeight w:hRule="exact" w:val="5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Оцінка дії підпрограми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6E38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6E383C" w:rsidRDefault="009460CC" w:rsidP="00A6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Підпрограма № 2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«Протидія захворюванню на туберкульоз»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Напружена ситуація по туберкульозу спостерігається в даний час як у Вінницькій області так і в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Томашпільському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районі. Щороку реєструється в районі 20-25 нових випадків туберкульозу. Більшу половину з цих випадків складають відкриті форми туберкульозу, виявлені у занедбаному стані.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Особливу небезпеку становить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мультирезистентний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туберкульоз і ця форма туберкульозу є невиліковною через стійкість до ліків. Як правило, така форма поєднання з ВІЛ - інфекцією.</w:t>
      </w:r>
    </w:p>
    <w:p w:rsidR="009460CC" w:rsidRDefault="009460CC" w:rsidP="00A672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Мета підпрограми: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Метою програми є подальше поліпшення епідемічної ситуації в напрямі зменшення кількості хворих на туберкульоз в районі, зниження рівня захворюваності, поширеності та смертності від нього, темпів поширення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мультирезистен</w:t>
      </w:r>
      <w:r>
        <w:rPr>
          <w:rFonts w:ascii="Times New Roman" w:hAnsi="Times New Roman"/>
          <w:sz w:val="28"/>
          <w:szCs w:val="28"/>
          <w:lang w:eastAsia="uk-UA"/>
        </w:rPr>
        <w:t>тн</w:t>
      </w:r>
      <w:r w:rsidRPr="0019319D">
        <w:rPr>
          <w:rFonts w:ascii="Times New Roman" w:hAnsi="Times New Roman"/>
          <w:sz w:val="28"/>
          <w:szCs w:val="28"/>
          <w:lang w:eastAsia="uk-UA"/>
        </w:rPr>
        <w:t>ого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т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беркульозу. 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Шляхи та способи виконання підпрограми: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Оптимізація лабораторної діагностики туберкульозу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Безперебійне забезпечення закладу туберкульозними лікарськими засобами, В т.ч. застосування препаратів з фіксованими дозами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Придбання рен</w:t>
      </w:r>
      <w:r>
        <w:rPr>
          <w:rFonts w:ascii="Times New Roman" w:hAnsi="Times New Roman"/>
          <w:sz w:val="28"/>
          <w:szCs w:val="28"/>
          <w:lang w:eastAsia="uk-UA"/>
        </w:rPr>
        <w:t>т</w:t>
      </w:r>
      <w:r w:rsidRPr="0019319D">
        <w:rPr>
          <w:rFonts w:ascii="Times New Roman" w:hAnsi="Times New Roman"/>
          <w:sz w:val="28"/>
          <w:szCs w:val="28"/>
          <w:lang w:eastAsia="uk-UA"/>
        </w:rPr>
        <w:t>ген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плівки для обстеження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тубхворих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з метою покращення діагностики та забезпечення моніторингу ефективності їх лікування.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Забезпечення доступу хворих на туберкульоз до патогенетичного лікування.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Забезпечення узгодженого функціонування служб протидії туберкульозу та ВІЛ –інфекції,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СНІДу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Залучення громадських організацій до активної участі у протидії захворюванню на туберкульоз, формування толерантного ставлення до хворих на туберкульоз і ВІЛ інфікованих осіб.</w:t>
      </w:r>
    </w:p>
    <w:p w:rsidR="009460CC" w:rsidRPr="0019319D" w:rsidRDefault="009460CC" w:rsidP="008773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Підвищення рівня поінформованості населення з питань запобігання захворювання на туберкульоз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Очікувальні результати: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Виконання програми дасть змогу: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обстежити поширення туберкульозу і Ко-інфекцій(ВІЛ, туберкульоз)і змен</w:t>
      </w:r>
      <w:r>
        <w:rPr>
          <w:rFonts w:ascii="Times New Roman" w:hAnsi="Times New Roman"/>
          <w:bCs/>
          <w:sz w:val="28"/>
          <w:szCs w:val="28"/>
          <w:lang w:eastAsia="uk-UA"/>
        </w:rPr>
        <w:t>шити рівень захворюва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ності на туберкульоз до 50 випадків на 10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тис. населення</w:t>
      </w:r>
      <w:r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lastRenderedPageBreak/>
        <w:t>- стабілізувати смертність від туберкульозу та його наслідків на рівні10 на 1000тис населення</w:t>
      </w:r>
      <w:r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 досягти зниження рівня захворюваності та смертності від туберкульозу не менш як на 1%- щороку</w:t>
      </w:r>
      <w:r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запобігти поширенню туберкульозу</w:t>
      </w:r>
      <w:r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зменшити кількість хворих, що лікуються повто</w:t>
      </w:r>
      <w:r>
        <w:rPr>
          <w:rFonts w:ascii="Times New Roman" w:hAnsi="Times New Roman"/>
          <w:bCs/>
          <w:sz w:val="28"/>
          <w:szCs w:val="28"/>
          <w:lang w:eastAsia="uk-UA"/>
        </w:rPr>
        <w:t>рно та перервали курс лікування;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>довести відсоток виявлення із застосуванням методу мікроскопії мазка мокротиння до 45</w:t>
      </w:r>
      <w:r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19319D">
        <w:rPr>
          <w:rFonts w:ascii="Times New Roman" w:hAnsi="Times New Roman"/>
          <w:bCs/>
          <w:sz w:val="28"/>
          <w:szCs w:val="28"/>
          <w:lang w:eastAsia="uk-UA"/>
        </w:rPr>
        <w:t xml:space="preserve">забезпечити повне одужання 70% хворих, яким вперше </w:t>
      </w:r>
      <w:r>
        <w:rPr>
          <w:rFonts w:ascii="Times New Roman" w:hAnsi="Times New Roman"/>
          <w:bCs/>
          <w:sz w:val="28"/>
          <w:szCs w:val="28"/>
          <w:lang w:eastAsia="uk-UA"/>
        </w:rPr>
        <w:t>поставлено діагноз туберкульозу;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19319D">
        <w:rPr>
          <w:rFonts w:ascii="Times New Roman" w:hAnsi="Times New Roman"/>
          <w:bCs/>
          <w:sz w:val="28"/>
          <w:szCs w:val="28"/>
          <w:lang w:eastAsia="uk-UA"/>
        </w:rPr>
        <w:t xml:space="preserve">- стабілізувати рівень смертності віл </w:t>
      </w:r>
      <w:proofErr w:type="spellStart"/>
      <w:r w:rsidRPr="0019319D">
        <w:rPr>
          <w:rFonts w:ascii="Times New Roman" w:hAnsi="Times New Roman"/>
          <w:bCs/>
          <w:sz w:val="28"/>
          <w:szCs w:val="28"/>
          <w:lang w:eastAsia="uk-UA"/>
        </w:rPr>
        <w:t>Ко</w:t>
      </w:r>
      <w:proofErr w:type="spellEnd"/>
      <w:r w:rsidRPr="0019319D">
        <w:rPr>
          <w:rFonts w:ascii="Times New Roman" w:hAnsi="Times New Roman"/>
          <w:bCs/>
          <w:sz w:val="28"/>
          <w:szCs w:val="28"/>
          <w:lang w:eastAsia="uk-UA"/>
        </w:rPr>
        <w:t xml:space="preserve"> інфекцій.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Заходи щодо реалізації програми:</w:t>
      </w:r>
    </w:p>
    <w:tbl>
      <w:tblPr>
        <w:tblW w:w="10038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3806"/>
        <w:gridCol w:w="1598"/>
        <w:gridCol w:w="2222"/>
        <w:gridCol w:w="2040"/>
      </w:tblGrid>
      <w:tr w:rsidR="009460CC" w:rsidRPr="0019319D" w:rsidTr="00A672E5">
        <w:trPr>
          <w:trHeight w:hRule="exact" w:val="61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</w:t>
            </w:r>
          </w:p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п/</w:t>
            </w:r>
            <w:proofErr w:type="spellStart"/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С</w:t>
            </w: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ума</w:t>
            </w:r>
          </w:p>
          <w:p w:rsidR="009460CC" w:rsidRPr="00A672E5" w:rsidRDefault="009460CC" w:rsidP="00A672E5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тис </w:t>
            </w:r>
            <w:proofErr w:type="spellStart"/>
            <w:r w:rsidRPr="00A672E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460CC" w:rsidRPr="0019319D" w:rsidTr="00A672E5">
        <w:trPr>
          <w:trHeight w:hRule="exact" w:val="142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Забезпечити лабораторну діагностику туберкульозу методом мікроскопії , мазка. Забезпечити витратними матеріалами для мікроскопії мазка.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КУ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ЦРЛ»</w:t>
            </w:r>
          </w:p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РДА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5,0</w:t>
            </w: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60CC" w:rsidRPr="0019319D" w:rsidTr="00A672E5">
        <w:trPr>
          <w:trHeight w:hRule="exact" w:val="8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одноразових контейнерів для збору та доставки мокротиння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КУ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ЦРЛ»</w:t>
            </w:r>
          </w:p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РДА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5 ,0</w:t>
            </w: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19319D" w:rsidTr="00A672E5">
        <w:trPr>
          <w:trHeight w:hRule="exact" w:val="85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Придбання 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генплівки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обстеження туб хворих та осіб з ГПР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КУ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ЦРЛ»</w:t>
            </w:r>
          </w:p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РДА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10,0</w:t>
            </w: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19319D" w:rsidTr="00A672E5">
        <w:trPr>
          <w:trHeight w:hRule="exact" w:val="84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Виділення коштів на проведення патогенетичного лікування;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КУ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ЦРЛ»</w:t>
            </w:r>
          </w:p>
          <w:p w:rsidR="009460CC" w:rsidRPr="00A672E5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РДА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73127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20 ,0</w:t>
            </w:r>
          </w:p>
          <w:p w:rsidR="009460CC" w:rsidRPr="00A672E5" w:rsidRDefault="009460CC" w:rsidP="0073127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19319D" w:rsidTr="00A672E5">
        <w:trPr>
          <w:trHeight w:hRule="exact" w:val="95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Придбання одноразових масок, респіраторів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A672E5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A672E5" w:rsidRDefault="009460CC" w:rsidP="00A6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КУ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ЦРЛ»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30 ,0</w:t>
            </w:r>
          </w:p>
          <w:p w:rsidR="009460CC" w:rsidRPr="00A672E5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672E5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</w:tbl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7"/>
          <w:szCs w:val="27"/>
          <w:lang w:eastAsia="uk-UA"/>
        </w:rPr>
        <w:t>Підпрограма №3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«Імунопрофілактика»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Інфекційні хвороби до цього часу є однією з основних причин інвалідності та смертності в усьому світі.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Грип  є причиною більшості вроджених аномалій та вад розвитку плоду.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Епідемія грипу Ні N</w:t>
      </w:r>
      <w:r w:rsidRPr="0019319D">
        <w:rPr>
          <w:rFonts w:ascii="Georgia" w:hAnsi="Georgia" w:cs="Georgia"/>
          <w:sz w:val="14"/>
          <w:szCs w:val="14"/>
          <w:lang w:eastAsia="uk-UA"/>
        </w:rPr>
        <w:t>1</w:t>
      </w:r>
      <w:r w:rsidRPr="0019319D">
        <w:rPr>
          <w:rFonts w:ascii="Times New Roman" w:hAnsi="Times New Roman"/>
          <w:sz w:val="28"/>
          <w:szCs w:val="28"/>
          <w:lang w:eastAsia="uk-UA"/>
        </w:rPr>
        <w:t xml:space="preserve"> (Каліфорнія) за останні роки викликали велику кількість ускладнень від таких як важкі пневмонії аж до блискавичних смертельних випадків.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Мета підпрограми: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Забезпечення епідемічного благополуччя населення району шляхом проведення профілактичних заходів, направлених на зниження рівня захворюваності на інфекції, які керуються засобами специфічної профілактики.</w:t>
      </w:r>
    </w:p>
    <w:p w:rsidR="009460CC" w:rsidRPr="0019319D" w:rsidRDefault="009460CC" w:rsidP="00A672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Завдання програми: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lastRenderedPageBreak/>
        <w:t>Максимальне охоплення специфічною імунізацією підлягаючих контингентів.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Забезпечити групи професійного та медичного ризику вакцинами від інфекційних хвороб.</w:t>
      </w:r>
    </w:p>
    <w:p w:rsidR="009460CC" w:rsidRPr="0019319D" w:rsidRDefault="009460CC" w:rsidP="00A672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Очікуванні результати: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Захист професійних груп від інфекцій, що керуються засобами специфічної профілактики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Створення прошарку осіб, імунний статус яких забезпечить несприятливість колективів до виникнення епідемій інфекційних хвороб.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Попередження ускладнень від інфекційних хвороб у пацієнтів високого медичного ризику.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Блокування джерел збудників інфекційних хвороб та порушення механізму передачі збудників інфекцій.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9460CC" w:rsidRPr="0019319D" w:rsidRDefault="009460CC" w:rsidP="00A672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i/>
          <w:sz w:val="28"/>
          <w:szCs w:val="28"/>
          <w:lang w:eastAsia="uk-UA"/>
        </w:rPr>
        <w:t>Кількісні показники</w:t>
      </w:r>
      <w:r w:rsidRPr="0019319D">
        <w:rPr>
          <w:rFonts w:ascii="Times New Roman" w:hAnsi="Times New Roman"/>
          <w:sz w:val="28"/>
          <w:szCs w:val="28"/>
          <w:lang w:eastAsia="uk-UA"/>
        </w:rPr>
        <w:t>: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Охоплення сезонними щепленнями проти грипу 95% працюючих медпрацівників</w:t>
      </w:r>
    </w:p>
    <w:p w:rsidR="009460CC" w:rsidRPr="0019319D" w:rsidRDefault="009460CC" w:rsidP="00A6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Проведення специфічної профілактики сказу при укусах тварин у 100% випадків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ab/>
        <w:t>Проведення специфічної профілактики правця при травмах у 100 % випадків.</w:t>
      </w:r>
    </w:p>
    <w:p w:rsidR="009460CC" w:rsidRPr="0019319D" w:rsidRDefault="009460CC" w:rsidP="00A672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Відсутність випадків захворювань на правець внаслідок травм.</w:t>
      </w:r>
    </w:p>
    <w:p w:rsidR="009460CC" w:rsidRPr="0019319D" w:rsidRDefault="009460CC" w:rsidP="00A672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i/>
          <w:sz w:val="28"/>
          <w:szCs w:val="28"/>
          <w:lang w:eastAsia="uk-UA"/>
        </w:rPr>
        <w:t>Якісні показники</w:t>
      </w:r>
      <w:r w:rsidRPr="0019319D">
        <w:rPr>
          <w:rFonts w:ascii="Times New Roman" w:hAnsi="Times New Roman"/>
          <w:sz w:val="28"/>
          <w:szCs w:val="28"/>
          <w:lang w:eastAsia="uk-UA"/>
        </w:rPr>
        <w:t>:</w:t>
      </w:r>
    </w:p>
    <w:p w:rsidR="009460CC" w:rsidRPr="0019319D" w:rsidRDefault="009460CC" w:rsidP="00A672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Зменшення ускладнень від грипу ( важкі пневмонії) на 10%</w:t>
      </w:r>
    </w:p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C30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Заходи щодо реалізації підпрограми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30A1D">
        <w:rPr>
          <w:rFonts w:ascii="Times New Roman" w:hAnsi="Times New Roman"/>
          <w:b/>
          <w:sz w:val="28"/>
          <w:szCs w:val="28"/>
          <w:lang w:eastAsia="uk-UA"/>
        </w:rPr>
        <w:t>«Імунопрофілактики»</w:t>
      </w:r>
    </w:p>
    <w:tbl>
      <w:tblPr>
        <w:tblW w:w="1012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3701"/>
        <w:gridCol w:w="1901"/>
        <w:gridCol w:w="2222"/>
        <w:gridCol w:w="1747"/>
      </w:tblGrid>
      <w:tr w:rsidR="009460CC" w:rsidRPr="0019319D" w:rsidTr="00C30A1D">
        <w:trPr>
          <w:trHeight w:hRule="exact" w:val="6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№</w:t>
            </w:r>
          </w:p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п/</w:t>
            </w:r>
            <w:proofErr w:type="spellStart"/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Термін</w:t>
            </w:r>
          </w:p>
          <w:p w:rsidR="009460CC" w:rsidRPr="00C30A1D" w:rsidRDefault="009460CC" w:rsidP="00C30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Сума,</w:t>
            </w:r>
          </w:p>
          <w:p w:rsidR="009460CC" w:rsidRPr="00C30A1D" w:rsidRDefault="009460CC" w:rsidP="00C30A1D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тис. грн.</w:t>
            </w:r>
          </w:p>
          <w:p w:rsidR="009460CC" w:rsidRPr="00C30A1D" w:rsidRDefault="009460CC" w:rsidP="00C30A1D">
            <w:pPr>
              <w:spacing w:after="0" w:line="1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9460CC" w:rsidRPr="00C30A1D" w:rsidTr="00C30A1D">
        <w:trPr>
          <w:trHeight w:hRule="exact" w:val="7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сезонної імунізації проти грипу медичних працівників ЦРЛ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25,0 щорічно</w:t>
            </w:r>
          </w:p>
        </w:tc>
      </w:tr>
      <w:tr w:rsidR="009460CC" w:rsidRPr="00C30A1D" w:rsidTr="00C30A1D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швидких тестів для визначення збудника грипу та ГРВІ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25,0 щорічно</w:t>
            </w:r>
          </w:p>
        </w:tc>
      </w:tr>
      <w:tr w:rsidR="009460CC" w:rsidRPr="00C30A1D" w:rsidTr="00C30A1D">
        <w:trPr>
          <w:trHeight w:hRule="exact" w:val="1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правцевого анатоксину для проведення специфічної імунізації хворих з травмами за </w:t>
            </w: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епідпоказами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40,0 щорічно</w:t>
            </w:r>
          </w:p>
        </w:tc>
      </w:tr>
      <w:tr w:rsidR="009460CC" w:rsidRPr="00C30A1D" w:rsidTr="00C30A1D">
        <w:trPr>
          <w:trHeight w:hRule="exact" w:val="8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антирабічної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вакцини для проведення  імунізації хворих з укусами тварин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10,0</w:t>
            </w:r>
          </w:p>
          <w:p w:rsidR="009460CC" w:rsidRPr="00C30A1D" w:rsidRDefault="009460CC" w:rsidP="00731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C30A1D" w:rsidTr="00C30A1D">
        <w:trPr>
          <w:trHeight w:hRule="exact" w:val="6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Оцінка реалізації підпрограми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  <w:p w:rsidR="009460CC" w:rsidRPr="00C30A1D" w:rsidRDefault="009460CC" w:rsidP="0019319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C30A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C30A1D" w:rsidRDefault="009460CC" w:rsidP="001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460CC" w:rsidRDefault="009460CC" w:rsidP="00877380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9460CC" w:rsidRPr="00C30A1D" w:rsidRDefault="009460CC" w:rsidP="00C30A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30A1D">
        <w:rPr>
          <w:rFonts w:ascii="Times New Roman" w:hAnsi="Times New Roman"/>
          <w:b/>
          <w:bCs/>
          <w:sz w:val="28"/>
          <w:szCs w:val="28"/>
          <w:lang w:eastAsia="uk-UA"/>
        </w:rPr>
        <w:t>Підпрограма № 4 «Цукровий діабет»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Щороку в районі виявляється близько 60 нових випадків цукрового діабету.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За статистикою на кожного виявленого хворого є 10 незареєстрованих, які і не здогадуються про наявну хворобу.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Враховуючи, що цукровий діабет є причиною враження судин серця, нирок, кінцівок, очей і викликає такі ускладнення як інфаркти, інсульти, </w:t>
      </w:r>
      <w:r w:rsidRPr="0019319D">
        <w:rPr>
          <w:rFonts w:ascii="Times New Roman" w:hAnsi="Times New Roman"/>
          <w:sz w:val="28"/>
          <w:szCs w:val="28"/>
          <w:lang w:eastAsia="uk-UA"/>
        </w:rPr>
        <w:lastRenderedPageBreak/>
        <w:t>сліпоту, гангрену, ниркову недостатність, раннє виявлення та адекватне лікування є вкрай актуальним.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bookmark1"/>
    </w:p>
    <w:p w:rsidR="009460CC" w:rsidRPr="0019319D" w:rsidRDefault="009460CC" w:rsidP="00C30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Мета підпрограми:</w:t>
      </w:r>
      <w:bookmarkEnd w:id="0"/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Здійснення раннього виявлення цукрового діабету та його ускладнень; Забезпечення заходів, спрямованих на профілактику цукрового діабету 2 типу.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C30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Очікувані результати: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Охоплення диспансерним наглядом хворих на цукровий діабет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Раннє виявлення цукрового діабету шляхом визначення рівня глюкози крові кожному пацієнту з групи ризику щорічно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Зниження рівня смертності внаслідок ускладнень на цукровий діабет.</w:t>
      </w:r>
    </w:p>
    <w:p w:rsidR="009460CC" w:rsidRDefault="009460CC" w:rsidP="008773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 w:rsidP="00C30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Кількісні показники: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Охоплення хворих з підозрою на цукровий діабет обстеженням на глюкозу в крові в 100% випадків щорічно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877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460CC" w:rsidRPr="00C30A1D" w:rsidRDefault="009460CC" w:rsidP="00C3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30A1D">
        <w:rPr>
          <w:rFonts w:ascii="Times New Roman" w:hAnsi="Times New Roman"/>
          <w:b/>
          <w:sz w:val="28"/>
          <w:szCs w:val="28"/>
          <w:lang w:eastAsia="uk-UA"/>
        </w:rPr>
        <w:t>Якісні показники:</w:t>
      </w:r>
    </w:p>
    <w:p w:rsidR="009460CC" w:rsidRPr="0019319D" w:rsidRDefault="009460CC" w:rsidP="00C30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Зниження рівня смертності від ускладнень цукрового діабету до 6,8 на 10.000 населення.</w:t>
      </w:r>
    </w:p>
    <w:p w:rsidR="009460CC" w:rsidRPr="004B6C74" w:rsidRDefault="009460CC" w:rsidP="004B6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Щорічне виявлення хворих на ЦД - не менше 34 випадки на 10 000 населення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460CC" w:rsidRPr="0019319D" w:rsidRDefault="009460CC" w:rsidP="00C30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319D">
        <w:rPr>
          <w:rFonts w:ascii="Times New Roman" w:hAnsi="Times New Roman"/>
          <w:b/>
          <w:bCs/>
          <w:sz w:val="28"/>
          <w:szCs w:val="28"/>
          <w:lang w:eastAsia="uk-UA"/>
        </w:rPr>
        <w:t>Заходи щодо реалізації підпрограми:</w:t>
      </w:r>
    </w:p>
    <w:tbl>
      <w:tblPr>
        <w:tblW w:w="10482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716"/>
        <w:gridCol w:w="1925"/>
        <w:gridCol w:w="2222"/>
        <w:gridCol w:w="1910"/>
      </w:tblGrid>
      <w:tr w:rsidR="009460CC" w:rsidRPr="0019319D" w:rsidTr="00D22ADA">
        <w:trPr>
          <w:trHeight w:hRule="exact"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</w:t>
            </w:r>
          </w:p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п/</w:t>
            </w:r>
            <w:proofErr w:type="spellStart"/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D22ADA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</w:tr>
      <w:tr w:rsidR="009460CC" w:rsidRPr="0019319D" w:rsidTr="00D22ADA">
        <w:trPr>
          <w:trHeight w:hRule="exact"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 </w:t>
            </w: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катриджів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аналізатора «</w:t>
            </w:r>
            <w:r w:rsidRPr="00D22ADA">
              <w:rPr>
                <w:rFonts w:ascii="Times New Roman" w:hAnsi="Times New Roman"/>
                <w:sz w:val="24"/>
                <w:szCs w:val="24"/>
                <w:lang w:val="en-US" w:eastAsia="uk-UA"/>
              </w:rPr>
              <w:t>Clover</w:t>
            </w: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» для обстеження хворих на цукровий діабет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2016 - 2020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10,0</w:t>
            </w:r>
          </w:p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60CC" w:rsidRPr="0019319D" w:rsidTr="00D22ADA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хімреактивів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лабораторного обстеження хворих на цукровий діабет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10,0</w:t>
            </w:r>
          </w:p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19319D" w:rsidTr="00D22ADA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Сервісне обслуговування біохімічного стерилізатора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0CC" w:rsidRPr="00D22ADA" w:rsidRDefault="009460CC" w:rsidP="001A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</w:t>
            </w: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6,0</w:t>
            </w:r>
          </w:p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щорічно</w:t>
            </w:r>
          </w:p>
        </w:tc>
      </w:tr>
      <w:tr w:rsidR="009460CC" w:rsidRPr="0019319D" w:rsidTr="0019319D">
        <w:trPr>
          <w:trHeight w:hRule="exact"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Оцінка результативності дії підпрограми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2016 - 2020 щоквартально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460CC" w:rsidRPr="0019319D" w:rsidRDefault="009460CC" w:rsidP="00D22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9319D">
        <w:rPr>
          <w:rFonts w:ascii="Times New Roman" w:hAnsi="Times New Roman"/>
          <w:b/>
          <w:sz w:val="28"/>
          <w:szCs w:val="28"/>
          <w:lang w:eastAsia="uk-UA"/>
        </w:rPr>
        <w:t>Підпрограма № 5</w:t>
      </w:r>
    </w:p>
    <w:p w:rsidR="009460CC" w:rsidRPr="0019319D" w:rsidRDefault="009460CC" w:rsidP="00D22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>Відповідно до Закону про Статус ветеранів війни та гарантії їх соціального захисту безоплатним стаціонарним лікуванням та зубопротезуванням забезпечуються демобілізовані учасники АТО, які отримали статус учасника бойових дій, ветерани війни.</w:t>
      </w:r>
    </w:p>
    <w:p w:rsidR="009460CC" w:rsidRPr="0019319D" w:rsidRDefault="009460CC" w:rsidP="00D22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319D">
        <w:rPr>
          <w:rFonts w:ascii="Times New Roman" w:hAnsi="Times New Roman"/>
          <w:sz w:val="28"/>
          <w:szCs w:val="28"/>
          <w:lang w:eastAsia="uk-UA"/>
        </w:rPr>
        <w:t xml:space="preserve">На виконання діючих директивних документів, відповідно до спільного наказу ДОЗ та К Вінницької ОДА та ГУ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Держсанепідслужби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 xml:space="preserve"> у Вінницькій області від 23.09.15 №1158/44 «Про невідкладні заходи щодо зменшення інтенсивності епідемії грипу і гострих респіраторних вірусних інфекцій в епідемічному сезоні 2015-2016 років.», необхідно забезпечити в закладі запас лікарських засобів, у тому числі: противірусних та антибактеріальних </w:t>
      </w:r>
      <w:r w:rsidRPr="0019319D">
        <w:rPr>
          <w:rFonts w:ascii="Times New Roman" w:hAnsi="Times New Roman"/>
          <w:sz w:val="28"/>
          <w:szCs w:val="28"/>
          <w:lang w:eastAsia="uk-UA"/>
        </w:rPr>
        <w:lastRenderedPageBreak/>
        <w:t xml:space="preserve">препаратів, засобів індивідуального захисту, </w:t>
      </w:r>
      <w:proofErr w:type="spellStart"/>
      <w:r w:rsidRPr="0019319D">
        <w:rPr>
          <w:rFonts w:ascii="Times New Roman" w:hAnsi="Times New Roman"/>
          <w:sz w:val="28"/>
          <w:szCs w:val="28"/>
          <w:lang w:eastAsia="uk-UA"/>
        </w:rPr>
        <w:t>дезинфікуючих</w:t>
      </w:r>
      <w:proofErr w:type="spellEnd"/>
      <w:r w:rsidRPr="0019319D">
        <w:rPr>
          <w:rFonts w:ascii="Times New Roman" w:hAnsi="Times New Roman"/>
          <w:sz w:val="28"/>
          <w:szCs w:val="28"/>
          <w:lang w:eastAsia="uk-UA"/>
        </w:rPr>
        <w:t>, антисептичних та інших матеріальних ресурсів.</w:t>
      </w:r>
    </w:p>
    <w:p w:rsidR="009460CC" w:rsidRPr="0019319D" w:rsidRDefault="009460CC" w:rsidP="0087738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259"/>
        <w:tblW w:w="100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3408"/>
        <w:gridCol w:w="1590"/>
        <w:gridCol w:w="2651"/>
        <w:gridCol w:w="1793"/>
      </w:tblGrid>
      <w:tr w:rsidR="009460CC" w:rsidRPr="0019319D" w:rsidTr="00731271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</w:t>
            </w: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п/</w:t>
            </w:r>
            <w:proofErr w:type="spellStart"/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Фінансування</w:t>
            </w:r>
          </w:p>
        </w:tc>
      </w:tr>
      <w:tr w:rsidR="009460CC" w:rsidRPr="0019319D" w:rsidTr="00731271">
        <w:trPr>
          <w:trHeight w:hRule="exact" w:val="5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Зубопротезування учасників АТО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40.0  щорічно</w:t>
            </w:r>
          </w:p>
        </w:tc>
      </w:tr>
      <w:tr w:rsidR="009460CC" w:rsidRPr="0019319D" w:rsidTr="00731271">
        <w:trPr>
          <w:trHeight w:hRule="exact" w:val="5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Медикаментозне забезпечення учасників АТО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300,0  щорічно</w:t>
            </w:r>
          </w:p>
        </w:tc>
      </w:tr>
      <w:tr w:rsidR="009460CC" w:rsidRPr="0019319D" w:rsidTr="00731271">
        <w:trPr>
          <w:trHeight w:hRule="exact" w:val="8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Медикаментозне забезпечення хворих на ГРВІ та їх ускладнення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30,0  щорічно</w:t>
            </w:r>
          </w:p>
        </w:tc>
      </w:tr>
      <w:tr w:rsidR="009460CC" w:rsidRPr="0019319D" w:rsidTr="00731271">
        <w:trPr>
          <w:trHeight w:hRule="exact"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Медикаментозне забезпечення </w:t>
            </w: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онкохворих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5,0  щорічно</w:t>
            </w:r>
          </w:p>
        </w:tc>
      </w:tr>
      <w:tr w:rsidR="009460CC" w:rsidRPr="0019319D" w:rsidTr="00731271">
        <w:trPr>
          <w:trHeight w:hRule="exact"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Оцінка результативності дії підпрограми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2016-2020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D22A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ЦРЛ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CC" w:rsidRPr="00D22ADA" w:rsidRDefault="009460CC" w:rsidP="00D2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460CC" w:rsidRPr="0019319D" w:rsidRDefault="009460CC" w:rsidP="00877380">
      <w:pPr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60CC" w:rsidRPr="0019319D" w:rsidRDefault="009460CC"/>
    <w:sectPr w:rsidR="009460CC" w:rsidRPr="0019319D" w:rsidSect="0019319D">
      <w:pgSz w:w="11909" w:h="16834"/>
      <w:pgMar w:top="567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9E66809"/>
    <w:multiLevelType w:val="hybridMultilevel"/>
    <w:tmpl w:val="F280BA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36EFA"/>
    <w:multiLevelType w:val="hybridMultilevel"/>
    <w:tmpl w:val="3E42E966"/>
    <w:lvl w:ilvl="0" w:tplc="173014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80"/>
    <w:rsid w:val="000B1919"/>
    <w:rsid w:val="000F3B8C"/>
    <w:rsid w:val="00154463"/>
    <w:rsid w:val="00190C0F"/>
    <w:rsid w:val="0019319D"/>
    <w:rsid w:val="001A620B"/>
    <w:rsid w:val="00283FEF"/>
    <w:rsid w:val="004B6C74"/>
    <w:rsid w:val="006E383C"/>
    <w:rsid w:val="00731271"/>
    <w:rsid w:val="007A2F3B"/>
    <w:rsid w:val="007B00A0"/>
    <w:rsid w:val="00877380"/>
    <w:rsid w:val="009460CC"/>
    <w:rsid w:val="00A672E5"/>
    <w:rsid w:val="00AB6076"/>
    <w:rsid w:val="00AD4431"/>
    <w:rsid w:val="00B01DAF"/>
    <w:rsid w:val="00C30A1D"/>
    <w:rsid w:val="00D22ADA"/>
    <w:rsid w:val="00E63863"/>
    <w:rsid w:val="00E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8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3170</Words>
  <Characters>18074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2016-07-25T09:42:00Z</cp:lastPrinted>
  <dcterms:created xsi:type="dcterms:W3CDTF">2016-07-07T11:10:00Z</dcterms:created>
  <dcterms:modified xsi:type="dcterms:W3CDTF">2016-07-25T09:45:00Z</dcterms:modified>
</cp:coreProperties>
</file>