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62" w:rsidRPr="005A3D56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6E7D2A" wp14:editId="73C488D9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9C0762" w:rsidRPr="005A3D56" w:rsidRDefault="009C0762" w:rsidP="009C0762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9C0762" w:rsidRPr="005A3D56" w:rsidRDefault="009C0762" w:rsidP="009C0762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9C0762" w:rsidRPr="002F68F3" w:rsidRDefault="009C0762" w:rsidP="009C0762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C0762" w:rsidRPr="009C0762" w:rsidRDefault="009C0762" w:rsidP="009C0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AD60CB">
        <w:rPr>
          <w:rFonts w:ascii="Times New Roman" w:hAnsi="Times New Roman" w:cs="Times New Roman"/>
          <w:b/>
          <w:sz w:val="28"/>
          <w:szCs w:val="28"/>
          <w:lang w:val="uk-UA"/>
        </w:rPr>
        <w:t>305</w:t>
      </w:r>
    </w:p>
    <w:p w:rsidR="009C0762" w:rsidRPr="00B939B0" w:rsidRDefault="009C0762" w:rsidP="009C076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762" w:rsidRPr="005A3D56" w:rsidRDefault="009C0762" w:rsidP="009C076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AD60CB">
        <w:rPr>
          <w:rFonts w:ascii="Times New Roman" w:hAnsi="Times New Roman" w:cs="Times New Roman"/>
          <w:sz w:val="26"/>
          <w:szCs w:val="26"/>
          <w:lang w:val="uk-UA"/>
        </w:rPr>
        <w:t>26 вересня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AD60CB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bookmarkStart w:id="0" w:name="_GoBack"/>
      <w:bookmarkEnd w:id="0"/>
      <w:r w:rsidR="00AD60CB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9C0762" w:rsidRPr="00DC243D" w:rsidRDefault="009C0762" w:rsidP="009C0762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C0762" w:rsidRPr="00215595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технічної документації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сільськогосподарського призначення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Вдовиченка Олексія Андрійовича дл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я ведення особистого селянського господарства на території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</w:p>
    <w:p w:rsidR="009C0762" w:rsidRPr="00215595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9C0762" w:rsidRPr="00215595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0762" w:rsidRPr="00215595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земельної ділянки сільськогосподарського призначення Вдовиченка Олексія Андрійовича для ведення особистого селянського господарства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 території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області, виготовлену ДП «Вінницький науково-дослідний та проектний інститут землеустрою» </w:t>
      </w:r>
      <w:r w:rsidR="009901E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договір №3207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 w:rsidR="009901E5">
        <w:rPr>
          <w:rFonts w:ascii="Times New Roman" w:hAnsi="Times New Roman" w:cs="Times New Roman"/>
          <w:color w:val="000000"/>
          <w:sz w:val="26"/>
          <w:szCs w:val="26"/>
          <w:lang w:val="uk-UA"/>
        </w:rPr>
        <w:t>21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.0</w:t>
      </w:r>
      <w:r w:rsidR="009901E5">
        <w:rPr>
          <w:rFonts w:ascii="Times New Roman" w:hAnsi="Times New Roman" w:cs="Times New Roman"/>
          <w:color w:val="000000"/>
          <w:sz w:val="26"/>
          <w:szCs w:val="26"/>
          <w:lang w:val="uk-UA"/>
        </w:rPr>
        <w:t>4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.2017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9C0762" w:rsidRPr="00215595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9C0762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>земельної ділянки сільськогосподарського призначення Вдовиченка Олексія Андрійовича для ведення особистого селянського господарства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території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Вилянської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с.Вила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Вінницької області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1,7475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37 166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(тридцять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сім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сто шістдесят шість гривень, 00 коп.).</w:t>
      </w:r>
    </w:p>
    <w:p w:rsidR="009C0762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C0762" w:rsidRPr="009C0762" w:rsidRDefault="009C0762" w:rsidP="009C0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9C0762" w:rsidRDefault="009C0762" w:rsidP="009C07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C0762" w:rsidRDefault="009C0762" w:rsidP="009C07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C0762" w:rsidRDefault="009C0762" w:rsidP="009C07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9C0762" w:rsidRPr="009C0762" w:rsidRDefault="009C0762" w:rsidP="009C0762">
      <w:pPr>
        <w:spacing w:after="0" w:line="240" w:lineRule="auto"/>
        <w:jc w:val="both"/>
        <w:rPr>
          <w:lang w:val="uk-UA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150551" w:rsidRDefault="00150551">
      <w:pPr>
        <w:rPr>
          <w:lang w:val="en-US"/>
        </w:rPr>
      </w:pPr>
    </w:p>
    <w:p w:rsidR="00443E1B" w:rsidRDefault="00443E1B">
      <w:pPr>
        <w:rPr>
          <w:lang w:val="en-US"/>
        </w:rPr>
      </w:pPr>
    </w:p>
    <w:p w:rsidR="00443E1B" w:rsidRPr="00443E1B" w:rsidRDefault="00443E1B">
      <w:pPr>
        <w:rPr>
          <w:lang w:val="en-US"/>
        </w:rPr>
      </w:pPr>
    </w:p>
    <w:sectPr w:rsidR="00443E1B" w:rsidRPr="00443E1B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62"/>
    <w:rsid w:val="00150551"/>
    <w:rsid w:val="00443E1B"/>
    <w:rsid w:val="009901E5"/>
    <w:rsid w:val="009C0762"/>
    <w:rsid w:val="00A92950"/>
    <w:rsid w:val="00AD60CB"/>
    <w:rsid w:val="00B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C07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9C076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C07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9C076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2017-07-28T09:04:00Z</dcterms:created>
  <dcterms:modified xsi:type="dcterms:W3CDTF">2017-09-28T20:13:00Z</dcterms:modified>
</cp:coreProperties>
</file>