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Р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ІШЕННЯ №315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21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березня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2013 року                                                   20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сесія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6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скликання</w:t>
      </w:r>
      <w:proofErr w:type="spellEnd"/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Про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затвердження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  Плану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формування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освітніх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округі</w:t>
      </w: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в</w:t>
      </w:r>
      <w:proofErr w:type="spellEnd"/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та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модернізації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загальноосвітніх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навчальних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закладів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Томашпільського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району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на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період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до 2018 року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Відповідно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до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статті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43 Закону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України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«Про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місцеве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самоврядування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в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Україні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»,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метою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формування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системи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навчальних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закладів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необхідної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для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надання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високоякісних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послуг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відповідно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до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Розпорядження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Кабінету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Міні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стр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України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5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вересня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2012 р. № 675-р «Про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схвалення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методичних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 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рекомендацій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щодо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складення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регіональних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планів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створення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округів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та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модернізації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мережі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професійно-технічних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загальноосвітніх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навчальних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закладів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у тому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числі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шкі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л-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інтернатів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»,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районна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рада</w:t>
      </w:r>
      <w:r w:rsidRPr="00781879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ВИРІШИЛА: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1.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Затвердити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План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формування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округів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та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модернізації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мережі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 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загальноосвітніх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навчальних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закладів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 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Томашпільського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району 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період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до 2018 року (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додається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).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2. 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Координаційній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раді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питань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складання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плану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формування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округів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(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Антонишин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П.В.) та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відділу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Томашпільської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РДА (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Коритчук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Д.І.)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забезпечити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виконання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Плану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формування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округі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</w:t>
      </w:r>
      <w:proofErr w:type="spellEnd"/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та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модернізації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мережі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 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загальноосвітніх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навчальних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закладів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 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Томашпільського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району.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3.  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Рекомендувати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сільським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та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селищним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радам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розглянути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питання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 та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надати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пропозиції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щодо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об'єднання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дошкільних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навчальних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закладів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освітні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округи .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4. Контроль за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виконанням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цього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proofErr w:type="gram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</w:t>
      </w:r>
      <w:proofErr w:type="gram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ішення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покласти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на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постійну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комісію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районної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ради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питань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освіти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культури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спорту, туризму, духовного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відродження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,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роботи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з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молоддю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(</w:t>
      </w:r>
      <w:proofErr w:type="spellStart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Подкопаєва</w:t>
      </w:r>
      <w:proofErr w:type="spellEnd"/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 xml:space="preserve"> Н.Д.).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284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Голова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районної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ради                                                               А.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Олійник</w:t>
      </w:r>
      <w:proofErr w:type="spellEnd"/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ЗАТВЕРДЖЕНО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proofErr w:type="gramStart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р</w:t>
      </w:r>
      <w:proofErr w:type="gram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ішенням</w:t>
      </w:r>
      <w:proofErr w:type="spell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 20 </w:t>
      </w:r>
      <w:proofErr w:type="spellStart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сесії</w:t>
      </w:r>
      <w:proofErr w:type="spell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районної</w:t>
      </w:r>
      <w:proofErr w:type="spell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 ради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6 </w:t>
      </w:r>
      <w:proofErr w:type="spellStart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скликання</w:t>
      </w:r>
      <w:proofErr w:type="spell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 №315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ind w:left="6372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>від</w:t>
      </w:r>
      <w:proofErr w:type="spellEnd"/>
      <w:r w:rsidRPr="00781879">
        <w:rPr>
          <w:rFonts w:ascii="Times New Roman" w:eastAsia="Times New Roman" w:hAnsi="Times New Roman" w:cs="Times New Roman"/>
          <w:i/>
          <w:iCs/>
          <w:color w:val="4C5053"/>
          <w:sz w:val="18"/>
          <w:szCs w:val="18"/>
          <w:lang w:eastAsia="ru-RU"/>
        </w:rPr>
        <w:t xml:space="preserve"> 21.03.2013 року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План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формування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освітніх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округі</w:t>
      </w: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в</w:t>
      </w:r>
      <w:proofErr w:type="spellEnd"/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та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модернізації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мережі</w:t>
      </w:r>
      <w:proofErr w:type="spellEnd"/>
    </w:p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загальноосвітніх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навчальних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закладів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Томашпільського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району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gram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на</w:t>
      </w:r>
      <w:proofErr w:type="gram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період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до 2018 року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jc w:val="center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tbl>
      <w:tblPr>
        <w:tblW w:w="9600" w:type="dxa"/>
        <w:tblCellSpacing w:w="0" w:type="dxa"/>
        <w:tblBorders>
          <w:top w:val="single" w:sz="4" w:space="0" w:color="CCCCCC"/>
          <w:left w:val="single" w:sz="4" w:space="0" w:color="CCCCCC"/>
          <w:bottom w:val="outset" w:sz="2" w:space="0" w:color="auto"/>
          <w:right w:val="outset" w:sz="2" w:space="0" w:color="auto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521"/>
        <w:gridCol w:w="4905"/>
        <w:gridCol w:w="1466"/>
        <w:gridCol w:w="2708"/>
      </w:tblGrid>
      <w:tr w:rsidR="00A23DFD" w:rsidRPr="00A23DFD" w:rsidTr="00A23DFD">
        <w:trPr>
          <w:trHeight w:val="85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/</w:t>
            </w:r>
            <w:proofErr w:type="spellStart"/>
            <w:proofErr w:type="gram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Заходи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округів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Строки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їх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здійснення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>Відповідальні</w:t>
            </w:r>
            <w:proofErr w:type="spellEnd"/>
            <w:r w:rsidRPr="007818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C5053"/>
                <w:sz w:val="18"/>
                <w:szCs w:val="18"/>
                <w:lang w:eastAsia="ru-RU"/>
              </w:rPr>
              <w:t xml:space="preserve"> особи</w:t>
            </w:r>
          </w:p>
        </w:tc>
      </w:tr>
      <w:tr w:rsidR="00A23DFD" w:rsidRPr="00A23DFD" w:rsidTr="00A23DFD">
        <w:trPr>
          <w:trHeight w:val="162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Утворити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території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району 4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округи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демографічних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показників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івня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міграції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перспектив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задоволення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потреб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високоякісних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послугах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: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Томашпільський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освітній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округ: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Опорна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школа: НВК “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Томашпільська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І–ІІІ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гімназія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”;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Липівська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Раківська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Кислицька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Олександрівська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Великорусавська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Вапнярський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освітній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округ: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Опорна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школа: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Вапнярська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ст. № 1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. І. Д.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Черняховського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Вапнярська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№2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;</w:t>
            </w:r>
            <w:proofErr w:type="gramEnd"/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НВК “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Вапнярська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-ІІІ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№3–ДНЗ ”;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Височанська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Марківська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НВК “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Вербівська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ДНЗ ”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Вапнярківська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Комаргородська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Гнатківський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освітній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округ: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Опорна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школа: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Гнатківська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Яланецька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інянська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Нетребівська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Антонівський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>освітній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u w:val="single"/>
                <w:bdr w:val="none" w:sz="0" w:space="0" w:color="auto" w:frame="1"/>
                <w:lang w:eastAsia="ru-RU"/>
              </w:rPr>
              <w:t xml:space="preserve"> округ: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Опорна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школа: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Антонівська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Рожнятівська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Пилипи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Борівська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– 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Вилянська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 квартал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2013 р.</w:t>
            </w:r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райдержадміністрація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районна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</w:tr>
      <w:tr w:rsidR="00A23DFD" w:rsidRPr="00A23DFD" w:rsidTr="00A23DFD">
        <w:trPr>
          <w:trHeight w:val="612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3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Провести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модернізацію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типів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району: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2.1.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Реорганізувати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:</w:t>
            </w:r>
          </w:p>
          <w:p w:rsidR="00A23DFD" w:rsidRPr="00A23DFD" w:rsidRDefault="00A23DFD" w:rsidP="00A23DFD">
            <w:pPr>
              <w:numPr>
                <w:ilvl w:val="0"/>
                <w:numId w:val="4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Марківську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у 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Марківську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numPr>
                <w:ilvl w:val="0"/>
                <w:numId w:val="5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Пилипи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Борівську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Пилипи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Борівську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 -ІІ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numPr>
                <w:ilvl w:val="0"/>
                <w:numId w:val="6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Олександрівську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ЗОШ І-ІІ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Олександрівський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ДНЗ у НВК “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Олександрівський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ДНЗ – школа І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ступеня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”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2013 р.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2014 р.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2014 р.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Марківська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с/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райдержадміністрація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районна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Пилипи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–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Борівська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 с/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райдержадміністрація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районна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Олександрівська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 с/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райдержадміністрація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районна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рада,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координаційна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</w:tc>
      </w:tr>
      <w:tr w:rsidR="00A23DFD" w:rsidRPr="00A23DFD" w:rsidTr="00A23DFD">
        <w:trPr>
          <w:trHeight w:val="85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7"/>
              </w:numPr>
              <w:spacing w:before="94" w:after="94" w:line="85" w:lineRule="atLeast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Проводити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 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детальний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аналіз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: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потреби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закладах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дошкільної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загальноосвітньої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позашкільної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стану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будівель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потреби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будівництві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капітальному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ремонті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реконструкції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об’єктів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обсягу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наявності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необхідних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lastRenderedPageBreak/>
              <w:t>приміщень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внутрішніх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вбиралень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водогоні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систем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опалення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їдалень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спортивних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залів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майстерень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потреби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створенні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навчально-виховних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комплексі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можливостей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ідвозу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місць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додому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всіма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видами транспорту,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визначити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потребу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шкільних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автобусів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демографічної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ситуації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прогнозуванням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дитячого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контингенту на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наступні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п’ять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років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івня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попиту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населення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послуги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урахуванням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потреби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поглибленому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вивченні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окремих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предметів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допрофільній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профільній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підготовці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форм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навчально-виховного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процесу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варіативності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послуг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задоволення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індивідуальних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запитів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зокрема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обдарованої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молоді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осіб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які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потребують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соціальної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допомоги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реабілітації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також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дітей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особливими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освітніми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потребами);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пропозицій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територіальних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громад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щодо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необхідності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реорганізації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призупинення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івня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забезпеченості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педагогічними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кадрами,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іншими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спеціалістами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матеріально-технічного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оснащення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сучасним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вимогам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інформації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результативність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ефективність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діяльності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разі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закриття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реорганізації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)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-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ішень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територіальних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громад,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рівня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організації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підвезення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інших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автотранспортом,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працевлаштування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вивільнених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педагогічних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кадрів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персоналу;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фінансування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галузі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регіоні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протягом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останніх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10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років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обсягу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витрат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на одного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вихованця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)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фінансовим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нормативам;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ризиків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пов’язаних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оптимізацією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;</w:t>
            </w:r>
          </w:p>
          <w:p w:rsidR="00A23DFD" w:rsidRPr="00A23DFD" w:rsidRDefault="00A23DFD" w:rsidP="00A23DFD">
            <w:pPr>
              <w:numPr>
                <w:ilvl w:val="0"/>
                <w:numId w:val="8"/>
              </w:numPr>
              <w:spacing w:before="94" w:after="94" w:line="85" w:lineRule="atLeast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актуальності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обраних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для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цього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методів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реалістичності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планів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тенденцій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розвитку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варіативності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регіоні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національних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св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ітових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тенденцій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альтернативних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варіантів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результатів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планів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lastRenderedPageBreak/>
              <w:t>липень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,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серпень</w:t>
            </w:r>
            <w:proofErr w:type="spellEnd"/>
          </w:p>
          <w:p w:rsidR="00A23DFD" w:rsidRPr="00A23DFD" w:rsidRDefault="00A23DFD" w:rsidP="00A23DFD">
            <w:pPr>
              <w:spacing w:after="0" w:line="85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щороку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85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Координаційна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</w:tc>
      </w:tr>
      <w:tr w:rsidR="00A23DFD" w:rsidRPr="00A23DFD" w:rsidTr="00A23DFD">
        <w:trPr>
          <w:trHeight w:val="50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9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Забезпечення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ідвезення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опорних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входять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складу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освітнього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округу,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відповідно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до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розкладу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затвердженого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радою округу.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Постійно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</w:tr>
      <w:tr w:rsidR="00A23DFD" w:rsidRPr="00A23DFD" w:rsidTr="00A23DFD">
        <w:trPr>
          <w:trHeight w:val="51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0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Здійснення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дистанційного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включаючи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направлення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на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курси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</w:t>
            </w:r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ідвищення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кваліфікації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вчителів</w:t>
            </w:r>
            <w:proofErr w:type="spellEnd"/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щороку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,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2013-2014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рр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</w:tr>
      <w:tr w:rsidR="00A23DFD" w:rsidRPr="00A23DFD" w:rsidTr="00A23DFD">
        <w:trPr>
          <w:trHeight w:val="499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1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Вивчати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питання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щодо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ефективного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використання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вивільнених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випадку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відсутності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учнівського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контингенту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приміщень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постійно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Координаційна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</w:tc>
      </w:tr>
      <w:tr w:rsidR="00A23DFD" w:rsidRPr="00A23DFD" w:rsidTr="00A23DFD">
        <w:trPr>
          <w:trHeight w:val="50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2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Проводити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аналіз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заходівПлану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формуванння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округів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загальноосвітніх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грудень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,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щороку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,</w:t>
            </w:r>
          </w:p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Координаційна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</w:tc>
      </w:tr>
      <w:tr w:rsidR="00A23DFD" w:rsidRPr="00A23DFD" w:rsidTr="00A23DFD">
        <w:trPr>
          <w:trHeight w:val="50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3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Здійснити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контроль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заходівПлану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округів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загальноосвітніх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2013-2014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рр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РДА,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районна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рада</w:t>
            </w:r>
          </w:p>
        </w:tc>
      </w:tr>
      <w:tr w:rsidR="00A23DFD" w:rsidRPr="00A23DFD" w:rsidTr="00A23DFD">
        <w:trPr>
          <w:trHeight w:val="508"/>
          <w:tblCellSpacing w:w="0" w:type="dxa"/>
        </w:trPr>
        <w:tc>
          <w:tcPr>
            <w:tcW w:w="348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numPr>
                <w:ilvl w:val="0"/>
                <w:numId w:val="14"/>
              </w:numPr>
              <w:spacing w:before="94" w:after="94" w:line="240" w:lineRule="auto"/>
              <w:ind w:left="235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75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Інформування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про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виконання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Плану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формування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округів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та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модернізації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мережі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загальноосвітніх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навчальних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закладі</w:t>
            </w:r>
            <w:proofErr w:type="gram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979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липень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,</w:t>
            </w:r>
          </w:p>
          <w:p w:rsidR="00A23DFD" w:rsidRPr="00A23DFD" w:rsidRDefault="00A23DFD" w:rsidP="00A23DFD">
            <w:pPr>
              <w:spacing w:after="0" w:line="141" w:lineRule="atLeast"/>
              <w:jc w:val="center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щороку</w:t>
            </w:r>
            <w:proofErr w:type="spellEnd"/>
          </w:p>
        </w:tc>
        <w:tc>
          <w:tcPr>
            <w:tcW w:w="1421" w:type="dxa"/>
            <w:tcBorders>
              <w:top w:val="outset" w:sz="2" w:space="0" w:color="auto"/>
              <w:left w:val="outset" w:sz="2" w:space="0" w:color="auto"/>
              <w:bottom w:val="single" w:sz="4" w:space="0" w:color="CCCCCC"/>
              <w:right w:val="single" w:sz="4" w:space="0" w:color="CCCCCC"/>
            </w:tcBorders>
            <w:shd w:val="clear" w:color="auto" w:fill="F9F9F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23DFD" w:rsidRPr="00A23DFD" w:rsidRDefault="00A23DFD" w:rsidP="00A23DFD">
            <w:pPr>
              <w:spacing w:after="0" w:line="141" w:lineRule="atLeast"/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</w:pP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Відділ</w:t>
            </w:r>
            <w:proofErr w:type="spellEnd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23DFD">
              <w:rPr>
                <w:rFonts w:ascii="Times New Roman" w:eastAsia="Times New Roman" w:hAnsi="Times New Roman" w:cs="Times New Roman"/>
                <w:color w:val="4C5053"/>
                <w:sz w:val="18"/>
                <w:szCs w:val="18"/>
                <w:lang w:eastAsia="ru-RU"/>
              </w:rPr>
              <w:t>освіти</w:t>
            </w:r>
            <w:proofErr w:type="spellEnd"/>
          </w:p>
        </w:tc>
      </w:tr>
    </w:tbl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lastRenderedPageBreak/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before="141" w:after="141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r w:rsidRPr="00A23DFD"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  <w:t> 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Керуючий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справами</w:t>
      </w:r>
    </w:p>
    <w:p w:rsidR="00A23DFD" w:rsidRPr="00A23DFD" w:rsidRDefault="00A23DFD" w:rsidP="00A23DFD">
      <w:pPr>
        <w:shd w:val="clear" w:color="auto" w:fill="F9F9F9"/>
        <w:spacing w:after="0" w:line="169" w:lineRule="atLeast"/>
        <w:rPr>
          <w:rFonts w:ascii="Times New Roman" w:eastAsia="Times New Roman" w:hAnsi="Times New Roman" w:cs="Times New Roman"/>
          <w:color w:val="4C5053"/>
          <w:sz w:val="18"/>
          <w:szCs w:val="18"/>
          <w:lang w:eastAsia="ru-RU"/>
        </w:rPr>
      </w:pP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виконавчого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апарату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районної</w:t>
      </w:r>
      <w:proofErr w:type="spellEnd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 xml:space="preserve"> ради                                         </w:t>
      </w:r>
      <w:proofErr w:type="spellStart"/>
      <w:r w:rsidRPr="00781879">
        <w:rPr>
          <w:rFonts w:ascii="Times New Roman" w:eastAsia="Times New Roman" w:hAnsi="Times New Roman" w:cs="Times New Roman"/>
          <w:b/>
          <w:bCs/>
          <w:color w:val="4C5053"/>
          <w:sz w:val="18"/>
          <w:szCs w:val="18"/>
          <w:lang w:eastAsia="ru-RU"/>
        </w:rPr>
        <w:t>О.Закорченний</w:t>
      </w:r>
      <w:proofErr w:type="spellEnd"/>
    </w:p>
    <w:p w:rsidR="008F25CB" w:rsidRPr="00781879" w:rsidRDefault="00781879">
      <w:pPr>
        <w:rPr>
          <w:rFonts w:ascii="Times New Roman" w:hAnsi="Times New Roman" w:cs="Times New Roman"/>
          <w:sz w:val="18"/>
          <w:szCs w:val="18"/>
        </w:rPr>
      </w:pPr>
    </w:p>
    <w:sectPr w:rsidR="008F25CB" w:rsidRPr="00781879" w:rsidSect="00C53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079"/>
    <w:multiLevelType w:val="multilevel"/>
    <w:tmpl w:val="DFB0F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21E3D"/>
    <w:multiLevelType w:val="multilevel"/>
    <w:tmpl w:val="9B9C1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E4FAC"/>
    <w:multiLevelType w:val="multilevel"/>
    <w:tmpl w:val="78388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A50D0"/>
    <w:multiLevelType w:val="multilevel"/>
    <w:tmpl w:val="14A4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FE6F32"/>
    <w:multiLevelType w:val="multilevel"/>
    <w:tmpl w:val="40AA1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65590"/>
    <w:multiLevelType w:val="multilevel"/>
    <w:tmpl w:val="9AA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4262E5"/>
    <w:multiLevelType w:val="multilevel"/>
    <w:tmpl w:val="7F24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E54ACB"/>
    <w:multiLevelType w:val="multilevel"/>
    <w:tmpl w:val="1E8C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2274B0"/>
    <w:multiLevelType w:val="multilevel"/>
    <w:tmpl w:val="88720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D95520"/>
    <w:multiLevelType w:val="multilevel"/>
    <w:tmpl w:val="CE54F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E8156C"/>
    <w:multiLevelType w:val="multilevel"/>
    <w:tmpl w:val="1FE03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634E55"/>
    <w:multiLevelType w:val="multilevel"/>
    <w:tmpl w:val="9B8E2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37778F1"/>
    <w:multiLevelType w:val="multilevel"/>
    <w:tmpl w:val="0C70A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524104"/>
    <w:multiLevelType w:val="multilevel"/>
    <w:tmpl w:val="10CA8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A23DFD"/>
    <w:rsid w:val="0075015D"/>
    <w:rsid w:val="00781879"/>
    <w:rsid w:val="00A23DFD"/>
    <w:rsid w:val="00C53463"/>
    <w:rsid w:val="00F24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DFD"/>
    <w:rPr>
      <w:b/>
      <w:bCs/>
    </w:rPr>
  </w:style>
  <w:style w:type="character" w:customStyle="1" w:styleId="apple-converted-space">
    <w:name w:val="apple-converted-space"/>
    <w:basedOn w:val="a0"/>
    <w:rsid w:val="00A23DFD"/>
  </w:style>
  <w:style w:type="character" w:styleId="a5">
    <w:name w:val="Emphasis"/>
    <w:basedOn w:val="a0"/>
    <w:uiPriority w:val="20"/>
    <w:qFormat/>
    <w:rsid w:val="00A23DF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3</cp:revision>
  <dcterms:created xsi:type="dcterms:W3CDTF">2016-01-14T08:38:00Z</dcterms:created>
  <dcterms:modified xsi:type="dcterms:W3CDTF">2016-01-14T08:39:00Z</dcterms:modified>
</cp:coreProperties>
</file>