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642"/>
      </w:tblGrid>
      <w:tr>
        <w:trPr>
          <w:trHeight w:val="2074" w:hRule="auto"/>
          <w:jc w:val="left"/>
        </w:trPr>
        <w:tc>
          <w:tcPr>
            <w:tcW w:w="6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Зареєстровано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Управлінням праці та соціального захисту населення Томашпільської райдержадміністрації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Реєстраційний номер 4 від 04. 02. 2021р.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Рекомендації реєструючого органу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                                ____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FFFFFF" w:val="clear"/>
              </w:rPr>
              <w:t xml:space="preserve">         ___________________________________________________________________________________________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вихідний номер і дата надсилання листа)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Уповноважена особа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реєструючого органу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Дідик Т.В.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підпис)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Колективний договір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КОМАРГОРОДСЬКОГО ВИЩОГО ПРОФЕСІЙНОГО УЧИЛИЩА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2021-2023 рік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5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9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СХВАЛЕНО</w:t>
      </w:r>
    </w:p>
    <w:p>
      <w:pPr>
        <w:spacing w:before="0" w:after="0" w:line="360"/>
        <w:ind w:right="0" w:left="0" w:firstLine="42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Загальними зборами трудового колективу</w:t>
      </w:r>
    </w:p>
    <w:p>
      <w:pPr>
        <w:spacing w:before="0" w:after="0" w:line="360"/>
        <w:ind w:right="0" w:left="0" w:firstLine="42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№ 1  від 02 листопада 2020 р.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Комаргород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ЗАГАЛЬНІ ПОЛОЖЕННЯ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Колективний договір є основним юридичним документом, який відповідно до чинного законодавства регламентує і регулює трудові й соціально-економічні відносини між адміністрацією Комаргородського вищого професійного училища Вінницької області в особі директора і трудовим колективом в особі голови первинної профспілкової організації училища і гарантує захист прав та інтересів усіх працівників училища.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Колективний договір укладається на основі чинного законодавства і, в першу чергу, Законів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колективні договори і угоди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порядок ров’язання колективних трудових спорів (конфліктів)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професійно-технічну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наукову та науково-технічну діяльність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оплату праці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професійні спілки, їх права та гарантії діяльності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охорону праці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Кодексу законів про працю України, житлового законодавства  України, Генеральної тарифної угоди, Галузевої  угоди між Міністерством освіти і науки  України та ЦК профспілки працівників освіти і науки України, інших державних нормативних документів, Статуту Комаргородського вищого професійного училища Вінницької області.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Підписується колективний договір з одного боку представником власника в особі директора училища і з іншого – від імені трудового колективу – головою первинної профспілкової організації училища.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Директор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забезпечує та контролює виконання колективного договору, інформує про хід його виконання та щорічно звітує про результати його виконання на загальних зборах трудового колективу.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Профорганізація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контролює та забезпечує виконання колективного договору, звітує про його виконання на загальних зборах трудового колективу та направляє директору подання з вимогою про усунення порушень умов колективного договору 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професійні спілки, їх права та гарантії діяльності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Члени трудового колективу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училища зобов’язуються дотримуватись трудової дисципліни, вимог посадових інструкцій, якісно та своєчасно виконувати виробничі та службові завдання.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Колективний договір укладається на 3 роки і набирає чинності з дня його підписання сторонами.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Додатки до колективного договору укладаються у письмовій формі і є його невід’ємною частиною.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Після закінчення зазначеного терміну  дії договір продовжує діяти до перегляду існуючого або укладання нового колективного договору.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Положення колективного договору та його додатки мають пріоритет перед іншими локальними нормативними актами училища. Накази, розпорядження та інші локальні нормативні акти училища, що суперечать положенням колективного договору, є недійсними і підлягають негайному скасуванню. 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 колективного договору поширюється на всіх працівників училища. 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невиконання зобов’язань колективного договору встановлено адміністративну та дисциплінарну відповідальність, аж до звільнення з роботи (ст. 18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колективні договори і угоди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Робоча комісія, склад якої визначається директором та профспілковою організацією, готує проект нового колективного договору, регулярно інформує директора та профспілкову організацію про хід підготовки до укладання нового колдоговору.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період дії колективного договору кожна із сторін має право вносити пропозиції щодо змін та доповнень до колдоговору із наступним розглядом їх на засіданні робочої комісії, яка є постійно діючим органом, що представляє інтереси сторін у період між зборами  трудового колективу.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училищі діє комісія з трудових спорів, яка обирається на зборах трудового колективу у складі 5 осіб, строком на 3 роки.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Колективний договір підлягає повідомній реєстрації у порядку, встановленому Положенням, затвердженим постановою Кабінету Міністрів України від 13 лютого 2013р. № 115.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ЗАБЕЗПЕЧЕННЯ ПРАВА НА ПРАЦЮ, </w:t>
        <w:br/>
        <w:t xml:space="preserve">ГАРАНТІЯ РОБОЧОГО МІСЦЯ </w:t>
        <w:br/>
        <w:t xml:space="preserve">І МАТЕРІАЛЬНЕ СТИМУЛЮВАННЯ ПРАЦЮЮЧИХ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Адміністрація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Забезпечувати дотримання законності та прозорості у складанні та виконанні бюджету (кошторису) училища. Фінансовий звіт про результати фінансово-господарської діяльності училища оприлюднювати перед його колегіальним органом.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Вищим колегіальним органом громадського самоврядування училища є збори трудового колективу. Організацію підготовки і проведення зборів здійснюють директор та профспілковий комітет як представник трудового колективу. Періодичність скликання, порядок голосування та правомочність рішень визначаються Статутом училища. 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вимагати від працівників виконання роботи, яка не обумовлена трудовим договором, контрактом та посадовою інструкцією.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директор,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дотримання встановленої законодавством тривалості робочого часу.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структурних підрозділів.</w:t>
      </w:r>
    </w:p>
    <w:p>
      <w:pPr>
        <w:spacing w:before="0" w:after="0" w:line="360"/>
        <w:ind w:right="0" w:left="-120" w:firstLine="68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Встановлювати тривалість денної роботи згідно з Правилами внутрішнього розпорядку (Додаток №1) і графіками роботи, затвердженими директором за погодженням з профспілковим комітетом із розрахунку щорічної тривалості робочого часу при 5-денному робочому тижні.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обліку робочого часу працівників відділу охорони, чергових по гуртожитку, кухарів, операторів котелень запроваджувати підсумований облік робочого часу з тим, щоб тривалість робочого часу за  обліковий період не перевищувала нормальної тривалості робочого часу (статті 50 і 51 КЗпП України). Обліковий період відповідно до виробничих потреб та режим роботи визначати наказом директора. Дні виходу на роботу, а також вихідні дні для кожного працівника відділу охорони, чергових по гуртожитку, кухарів, операторів котелень визначаються щомісячними графіками змінності, затвердженими керівником структурного підрозділу.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Установлення ненормованого робочого дня не поширюється на працівників, зайнятих на роботі з неповним робочим днем.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директор, начальник відділу кадрів.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Залучати працівників училища до роботи у святкові, неробочі та вихідні дні тільки з дозволу профспілкового комітету у таких випадках:         а) для відвернення стихійного лиха, виробничої аварії і негайного усунення їх наслідків; б) для відвернення нещасних випадків, псування майна училища;   в) для виконання невідкладних, наперед непербачуваних робіт, від негайного виконання яких у подальшому залежить нормальна робота училища або його окремих підрозділів. Робота у святкові та неробочі дні оплачується у подвійному розмірі: працівникам, які одержують місячний оклад, - у розмірі денної ставки зверх окладу, якщо робота у святковий і неробочий день провадилась у межах місячної норми робочого часу, і в розмірі подвійної денної ставки зверх окладу, якщо робота провадилась понад місячну норму; працівникам, праця яких оплачується за годинними або денними ставками, - у розмірі подвійної годинної або денної ставки.  За бажанням працівника, який працював у святковий і неробочий день, йому може бути наданий інший день відпочинку.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голова профкому, інспектор по кадрах.  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допомогу у розв’язанні проблем працевлаштування викладачів і працівників, які потрапили під скорочення. Не пізніше, ніж за два місяці, надавати профкому повну інформацію про можливі скорочення викладачів і працівників із зазначенням термінів, причин звільнення (ліквідації, реорганізації та ін.) для прийняття відповідних рішень.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інспектор по кадрах,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разі запрошення на роботу педагогічних працівників для  забезпечення навчального процесу  директор має право  приймати на роботу вказаних працівників до обрання за конкурсом, а також науково-педагогічних працівників за сумісництвом, за  строковим трудовим договором терміном до одного року.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інспектор по кадрах, заступник директора з НР.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скороченні працівників забезпечувати позачергове працевлаштування їх в училищі за наявності вакансій, а також збереження за викладачами та працівниками середньої заробітної плати на період їх перекваліфікації (за наявності коштів).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інспектор по кадрах,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щорічні відпустки працівникам згідно з графіками,  затвердженими спільно з профкомом до 30 січня.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інспектор по кадрах,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щорічні додаткові відпустки: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працівникам за роботу в умовах ненормованого робочого дня згідно з додатком №2 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залежно від результатів атестації робочих місць за умовами праці та часу зайнятості на роботах із шкідливими і важкими умовами праці працівникам, зайнятим на роботах, пов’язаних з негативним впливом на здоров’я шкідливих виробничих факторів за Списком виробництв, цехів, професій і посад, затверджених Кабінетом Міністрів України, згідно з додатком № 3.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інспектор по кадрах, інженер з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Надавати відпустку на санаторно-курортне лікування працівникам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керівники підрозділів, інспектор по кадрах,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Щорічна відпустка викладацькому складу може надаватись протягом навчального року, як виняток, у таких випадках: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зв’язку з участю в роботі приймальної комісії;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метою санаторно-курортного лікування;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сімейними обставинами.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підрозділів, інспектор по кадрах,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разі зменшення фінансування з незалежних від училища причин, за згодою сторін вносити зміни до діючих договорів щодо роботи на умовах неповного робочого часу за умови обов’язкового погодження з профспілковим комітетом, з дотриманням порядку визначеним трудовим законодавством в частині зміни існуючих умов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метою недопущення зниження рівня соціальної захищеності працівників училища, у випадках, коли навчальний процес в училищі призупинений з незалежних від них причин (стихійні лиха, епідемія, гострі респіраторні захворювання, метеорологічні умови  тощо), за працівниками зберігається середня заробітна плата незалежно від режиму роботи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інспектор по кадрах,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Після отримання лімітної довідки про фінансування на поточний рік ознайомити всіх заступників та керівників підрозділів про обсяги фінансування. Після затвердження кошторису училища оприлюднити його в усіх підрозділах, у разі зміни до постатейного кошторису інформацію довести до відома заступників  і керівників всіх підрозділів.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головний бухгалтер.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Профком 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Згідно з чинним законодавством брати безпосередню участь у розгляді питань з праці та заробітної плати, преміювання викладачів та працівників за результатами трудової діяльності.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профкому, головний бухгалтер.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Разом з адміністрацією готувати необхідні документи при призначенні пенсії викладачам, співробітникам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контроль за дотриманням адміністрацією законодавства про працю, правил і норм охорони праці та виробничої санітарії, пожежної та техногенної безпеки, застосування норм праці, її оплати.</w:t>
      </w:r>
    </w:p>
    <w:p>
      <w:pPr>
        <w:numPr>
          <w:ilvl w:val="0"/>
          <w:numId w:val="26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голова профкому, інженер з охорони праці.</w:t>
      </w:r>
    </w:p>
    <w:p>
      <w:pPr>
        <w:numPr>
          <w:ilvl w:val="0"/>
          <w:numId w:val="26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НОРМУВАННЯ ПРАЦІ та РЕГУЛЮВАННЯ ЗАРОБІТНОЇ ПЛАТИ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Адміністрація 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Оплату праці працівникам училища здійснювати на основі законів України, інших нормативно-правових актів, генеральної  та галузевої угод, колективного договору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директор, головний бухгалтер,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Виплату заробітної плати проводити  у такі терміни 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за першу половину місяця –  23 числа кожного місяця;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кінцевий розрахунок –  до 7 числа наступного місяця;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якщо день виплати заробітної плати припадає на вихідний, неробочий або святковий день, то вона  видається перед цими днями.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виплаті заробітної плати бухгалтерією видається її роздруківка з розшифровкою усіх видів відрахувань (на вимогу працівника). 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Відповідальні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бухгалтер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Працівникам, які поряд зі своєю основною роботою виконують додаткову роботу іншої професії (посади) або обов’язки тимчасово відсутнього працівника,  проводити відповідну оплату: за тарифом погодинної оплати або доплати за суміщення професій (посад) у розмірі до 50 % тарифної ставки (окладу) відсутнього працівника.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директор,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бухгалтер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Вчасно підвищувати посадові оклади і тарифні ставки згідно з постановами Кабміну України та наказами Міністерства освіти і науки України.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працівникам училища відповідно до заяви допомогу на оздоровлення при наданні щорічної відпустки у розмірі до посадового окладу за наявності коштів загального фонду бюджету спрямованих на цю мету.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Проводити додаткову оплату сторожам, черговим по гуртожитку, операторам котелень, за роботу в нічний час у розмірі  40% годинної тарифної ставки (посадового окладу) за кожну годину роботи з 22 години до 6 години.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головний бухгалтер, інспектор по кадрах.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порушення трудової, виробничої, технологічної дисципліни, а саме: запізнення на роботу, невиконання розпоряджень адміністрації, погіршення чи зниження якісних та кількісних показників у роботі, невиконання норм виробітку, порушення вимог щодо охорони праці, техногенної безпеки і виробничої санітарії та з інших причин, передбачених КЗпП України, Колективним договором, трудовим договором  співробітник позбавляється надбавок і доплат до посадових окладів (тарифних ставок) повністю або частково.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голова профкому, інспектор по кадрах, головний бухгалтер, керівники структурних підрозділів.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Виплати стимулюючого характеру застосовувати до всіх працівників училища незалежно від форм трудового договору (строковий трудовий договір, безстроковий трудовий договір) (Додаток №8, №9, №10).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виході працівника на пенсію у зв’язку із досягненням пенсійного віку надати йому відповідно до заяви одноразову допомогу в розмірі однієї середньомісячної заробітної плати (за наявності власних коштів навчального закладу, спрямованих на цю мету).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Інформувати трудовий  колектив  про передачу в оренду, продовження, розірвання та умови оренди об'єктів нерухомості, що належать училищу і використовуються за соціально-побутовим призначенням, через керівників підрозділів.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завідувач господарством, головний бухгалтер,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пожежну безпеку навчальних і виробничих приміщень, оснащення їх необхідним протипожежним інвентарем, схемами евакуації людей у випадку пожежі. Проводити систематичний інструктаж з питань пожежної безпеки.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завідувач господарством, інженер з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Проводити оснащення кабінетів і лабораторій училища технічними засобами навчання згідно з об’єктивними потребами.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завідувач господарством, завідуючі кабінетами, лабораторіями.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нові або зміну діючих умов оплати праці в бік погіршення адміністрація училища повинна повідомити працівників не пізніше як за два місяці до їх запровадження або зміни.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інспектор по кадрах,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Профком та колектив ліцею зобов’язуються: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Вивчати і виконувати правила техніки безпеки і виробничої санітарії.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Проводити постійний контроль за виконанням працівниками вимог охорони праці і техніки безпеки.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інспектор з охорони праці.</w:t>
      </w:r>
    </w:p>
    <w:p>
      <w:pPr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ІV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ОХОРОНА ПРАЦІ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Адміністрація 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Створити на робочому місці в кожному структурному підрозділі умови праці відповідно до нормативно-правових актів, а також забезпечити додержання вимог законодавства щодо прав працівників у галузі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директор,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вимагати від працівників виконання роботи, що не обумовлена трудовим договором, посадовою інструкцією та у разі не проходження ними інструктажу з питань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пожежну безпеку навчальних і виробничих приміщень, оснащення їх необхідним протипожежним інвентарем, схемами евакуації людей у випадку пожежі. Проводити інструктажі з питань пожежної безпеки.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інженер з охорони праці.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Забезпечувати безперервну й ефективну роботу вентиляційних систем, перевіряти опір пристроїв захисного контуру, заземлення та ізоляції електропроводки.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завідувач господарством, керівники відповідних служб.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Проводити не рідше одного разу на 5 років атестацію робочих місць за умовами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Керівники підрозділів, інженер з охорони праці,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результатами проведеної атестації робочих місць за умовами праці призначати пільги та компенсації (додаток № 5  цього Колективного договору) відповідно до діючого законодавства.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директор, інспектор по кадрах.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працівників засобами індивідуального захисту, спецодягом.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відповідних структурних підрозділів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комплектування аптечок першої медичної допомоги необхідними медикаментами в підрозділах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структурних підрозділів.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4.9.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структурні підрозділи необхідними нормативно-правовими актами з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інженер з охорони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4.10.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проведення навчання і перевірки знань з охорони праці посадових осіб, фахівців з охорони праці, викладачів дисципліни “Охорона праці”.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інженер з охорони праці,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методичну допомогу викладачам та працівникам училища з питань охорони праці, цивільного захисту населення, пожежної безпеки.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інженер з охорони праці, начальник штабу цивільної оборони.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Організувати проведення щорічних обов'язкових медичних оглядів всіх категорій працівників. На час проходження медичного огляду за працівником зберігається місце роботи та середній заробіток.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медична сестра, керівники підрозділів.</w:t>
      </w:r>
    </w:p>
    <w:p>
      <w:pPr>
        <w:spacing w:before="24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Профком та колектив училища зобов’язуються: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контроль за дотриманням адміністрацією законодавства про охорону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комісія з нагляду за охороною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Вивчати і виконувати правила техніки безпеки і виробничої санітарії.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структурних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Проводити постійний контроль за виконанням працівниками вимог охорони праці і техніки безпеки.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керівники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Розглядати скарги та рішення адміністрації про відшкодування училищем заподіяної викладачеві чи працівнику шкоди каліцтвом або нещасним випадком, пов’язаним з безпосередньою виробничою діяльністю.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профкому, інженер з охорони праці.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РОЗДІЛ V</w:t>
      </w:r>
    </w:p>
    <w:p>
      <w:pPr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СОЦІАЛЬНО-ТРУДОВІ ГАРАНТІЇ, ОЗДОРОВЛЕННЯ ТА ВІДПОЧИНОК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Адміністрація зобов’язується :</w:t>
      </w:r>
    </w:p>
    <w:p>
      <w:pPr>
        <w:spacing w:before="0" w:after="0" w:line="360"/>
        <w:ind w:right="0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Жінці, яка працює і має двох або більше дітей віком до 15 років, або дитину-інваліда, або яка усиновила дитину, одинокій матері, батьку, який виховує дитину без матері (у тому числі й у разі тривалого перебування матері у лікувальному закладі), а також особі, яка взяла дитину під опіку, надається щорічна додаткова оплачувана відпустка тривалістю 10 календарних днів без урахування святкових і неробочих днів.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наявності декількох підстав для надання цієї відпустки її загальна тривалість не може перевищувати 17 календарних днів.</w:t>
      </w:r>
    </w:p>
    <w:p>
      <w:pPr>
        <w:spacing w:before="0" w:after="0" w:line="360"/>
        <w:ind w:right="0" w:left="-120" w:firstLine="68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інспектор по кадрах, голова профкому.</w:t>
      </w:r>
    </w:p>
    <w:p>
      <w:pPr>
        <w:spacing w:before="0" w:after="0" w:line="360"/>
        <w:ind w:right="0" w:left="-120" w:firstLine="8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ст. 44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професійні спілки, їх права і гарантії діяльності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межах фінансових можливостей, відраховувати кошти первинній профспілковій організації викладачів і працівників училища на культурно-масову, фізкультурну та  оздоровчу роботу не менше ніж 0,3% від фонду оплати праці.</w:t>
      </w:r>
    </w:p>
    <w:p>
      <w:pPr>
        <w:spacing w:before="0" w:after="0" w:line="360"/>
        <w:ind w:right="0" w:left="-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головний бухгалтер,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Безкоштовно і першочергово надавати в користування працівникам училища наявні спортивні зали, споруди та майданчики із наявним спортивним обладнанням для занять спортом.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Заступник директора з НВР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звільнення педагогічних та науково-педагогічних працівників у зв'язку із скороченням тільки після завершення навчального року.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директор,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дотримання встановлених чинним законодавством норм тривалості робочого часу і відпочинку для працівників училища.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директор,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Сприяти розвитку і участі команд у змаганнях з різних видів спорту та проводити оплату при наявності  фінансування  збірних команд, які беруть участь у чемпіонатах.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бухгалтер, керівник фізичного виховання.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Профком 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Забезпечувати контроль за надходженням і розподілом путівок на лікування та в будинки відпочинку серед працівників училища.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бухгалтер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Забезпечувати путівками у літні оздоровчі табори області дітей працівників згідно з  поданими заявами.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профкому, бухгалтер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Щорічно звітувати про цільове використання коштів, відрахованих профспілковій організації на культурно-масову, фізкультурну та оздоровчу роботу.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 постійний контроль за якістю та асортиментом продукції в їдальні училища, дотриманням графіка їх роботи.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голова профкому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VІ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ПРАВОВІ ГАРАНТІЇ КОЛЕКТИВНОГО ДОГОВОРУ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Трудовий колектив уповноважує: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Первинну профспілкову організацію училища представляти його інтереси під час ведення переговорів з підготовки та укладання колективного договору, здійснювати контроль за виконанням зобов’язань сторін в період його дії, представляти інтереси колективу училища у вирішенні питань щодо оплати праці, зайнятості, умов та охорони праці, оздоровлення та відпочинку;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 первинної профспілкової організації підписати від імені трудового колективу з директором училища колективний договір та додатки до нього.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щодо внесення змін до того чи іншого пункту до Колективного договору ухвалюються на зборах трудового колективу. Усі зміни оформлюються протоколом, візуються сторонами, тиражуються і роздаються в підрозділи училища як додаток до Колективного договору.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разі недотримання умов  Колективного договору з боку адміністрації училища, за поданням профорганізації питання у 2-тижневий строк розглядається постійно діючою робочою комісією. При неможливості розв’язання спірного питання і недосягненні згоди справа вирішується відповідно до чинного законодавства України.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Усі витрати по Колективному договору визначаються в кошторисі, який складається керівництвом училища разом із профорганізацією. Термін складання кошторису витрат по Колективному договору визначається сторонами. Кошторис затверджується директором і головою профспілкової організації училища.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головний бухгалтер.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Профком зобов’язується: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Організовувати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вивчення працівниками нормативних документів, які регламентують питання трудових прав і зайнятості.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матеріальну допомогу членам профспілки, які залишилися без роботи через скорочення штату, перепрофілювання підрозділів.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Вживати заходи щодо запобігання трудових спорів і своєчасного їх розв’язання.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Сприяти адміністрації у створенні в колективі належної дисципліни, нормального морально-психологічного клімату.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Забезпечувати контроль з боку профспілки за дотриманням законодавства про оплату праці.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Клопотати перед адміністрацією про заохочення (нагородження) працівників за високі результати праці, присвоєння почесних звань.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Трудовий колектив зобов’язується:</w:t>
      </w:r>
    </w:p>
    <w:p>
      <w:pPr>
        <w:spacing w:before="0" w:after="0" w:line="36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обов’язковому порядку виконувати положення Колективного договору.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Сумлінно і своєчасно виконувати службові обов’язки, зберігати в належному стані державну власність, робочі місця, побутові приміщення, прилеглу до училища територію.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Дотримуватися правил внутрішнього розпорядку, не допускати порушень трудової і виробничої дисципліни.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випадках порушення трудової та виробничої дисципліни адміністрація може застосовувати до працівників такі заходи дисциплінарного впливу: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перенесення чергової відпустки на осінньо-зимовий період;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позбавлення працівника всіх видів матеріального стимулювання і матеріального заохочення;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позбавлення права на придбання пільгових путівок до санаторіїв та будинків відпочинку.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VІІ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ГАРАНТІЇ ДІЯЛЬНОСТІ  ПРОФСПІЛКОВОЇ ОРГАНІЗАЦІЇ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Профспілкова організація училища є представником трудового колективу училища і здійснює повноваження щодо представництва трудового колективу у правовідносинах з роботодавцем.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поданням профспілкового комітету директор училища надає вільний  час із збереженням заробітної плати виборним працівникам профспілки, не звільненим від своєї основної роботи, для виконання профспілкових повноважень.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директор, голова профкому, керівники структурних підрозділів.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Бухгалтерія училища забезпечує проведення бухгалтерських операцій, пов’язаних з утриманням і перерахуванням членських внесків у безготівковому порядку на рахунок профспілкового комітету відповідно до Статуту профспілки.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Відповідальні: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профкому, головний бухгалтер.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Профспілкова організація училища разом з роботодавцем бере участь у розв’язанні питань оплати праці працівників училища, розцінок, тарифних ставок, схем посадових окладів, умов запровадження та розмірів надбавок, доплат, премій, винагород та  інших заохочувальних і компенсаційних виплат, вирішує питання робочого часу і часу відпочинку, погоджує кошториси, штатний розпис, графіки змінності та надання відпусток, бере участь у розв’язанні соціально-економічних питань, визначенні та затвердженні переліку і порядку надання  працівникам соціальних послуг.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Профспілкова організація дає згоду або відмовляє у дачі згоди на розірвання трудового договору з працівником з ініціативи роботодавця у випадках, передбачених законом, здійснює інші повноваження, передбачені Законом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професійні спілки, їх права та гарантії діяльності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Працівники, обрані до складу профспілкових організацій і не звільнені від основної діяльності, не можуть бути піддані дисциплінарному стягненню без попередньої згоди органу, членами якого вони є (ст. 252 КЗпП України). </w:t>
      </w:r>
    </w:p>
    <w:tbl>
      <w:tblPr/>
      <w:tblGrid>
        <w:gridCol w:w="4219"/>
        <w:gridCol w:w="505"/>
        <w:gridCol w:w="1316"/>
        <w:gridCol w:w="505"/>
        <w:gridCol w:w="3905"/>
        <w:gridCol w:w="1495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  <w:tr>
        <w:trPr>
          <w:trHeight w:val="1" w:hRule="atLeast"/>
          <w:jc w:val="center"/>
        </w:trPr>
        <w:tc>
          <w:tcPr>
            <w:tcW w:w="47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 до колективного договору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48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ЗАТВЕРДЖЕНО</w:t>
      </w:r>
    </w:p>
    <w:p>
      <w:pPr>
        <w:numPr>
          <w:ilvl w:val="0"/>
          <w:numId w:val="72"/>
        </w:numPr>
        <w:spacing w:before="0" w:after="0" w:line="360"/>
        <w:ind w:right="0" w:left="0" w:firstLine="48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Загальними зборами трудового </w:t>
      </w:r>
    </w:p>
    <w:p>
      <w:pPr>
        <w:numPr>
          <w:ilvl w:val="0"/>
          <w:numId w:val="72"/>
        </w:numPr>
        <w:spacing w:before="0" w:after="0" w:line="360"/>
        <w:ind w:right="0" w:left="0" w:firstLine="48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колективу № ___ від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«__»__ 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ПРАВИЛА ВНУТРІШНЬОГО ТРУДОВОГО РОЗПОРЯДКУ 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І. ЗАГАЛЬНІ ПОЛОЖЕННЯ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Усі питання, пов'язані із застосуванням правил внутрішнього трудового розпорядку, розв'язує директор в межах наданих йому повноважень а у випадках, передбачених діючим законодавством, правилами внутрішнього трудового розпорядку, колективним договором, спільно або за погодженням з профспілковим комітетом.</w:t>
      </w:r>
    </w:p>
    <w:p>
      <w:pPr>
        <w:numPr>
          <w:ilvl w:val="0"/>
          <w:numId w:val="72"/>
        </w:num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П. ПОРЯДОК ПРИЙНЯТТЯ</w:t>
      </w:r>
    </w:p>
    <w:p>
      <w:pPr>
        <w:numPr>
          <w:ilvl w:val="0"/>
          <w:numId w:val="72"/>
        </w:num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І ЗВІЛЬНЕННЯ ПРАЦІВНИКІВ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приймають на роботу за безстроковими  трудовими договорами, а за згодою працівника або на сезонні та тимчасові роботи - за строковим.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при прийомі на роботу ознайомлюються під розписку із наказами, умовами роботи, правилами внутрішнього трудового розпорядку та колективним договором.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мають право працювати за сумісництвом, а також суміщенням.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осіб, які пропрацювали понад 5  діб, ведуться трудові книжки.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Директор організовує проведення інструктажів з техніки безпеки, виробничої санітарії, гігієни праці та протипожежної охорони для всіх працівників.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Припинення трудового договору може мати місце лише на підставах, передбачених чинним законодавством та умовами договору, що оформлюється наказом та доводиться працівнику під розписку. Трудова книжка видається та розрахунки проводяться в день звільнення.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ОСНОВНІ ОБОВЯЗКИ ТА ПРАВА ПРАЦІВНИКІВ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мають право на :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захист професійної честі, гідності;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участь у громадському самоврядуванні;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користування  оплачуваною відпусткою;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підвищення кваліфікації, перепідготовку;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Педагогічні працівники окрім прав визначених частиною 3.1. мають право також на: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вільний вибір форм, методів, засобів навчання, виявлення педагогічної ініціативи;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індивідуальну педагогічну діяльність;</w:t>
      </w:r>
    </w:p>
    <w:p>
      <w:pPr>
        <w:numPr>
          <w:ilvl w:val="0"/>
          <w:numId w:val="72"/>
        </w:num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пільгове забезпечення житлом у порядку, встановленому законодавству;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зобов'язані: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Працювати сумлінно, виконуючи  вимоги статуту, правил внутрішнього трудового розпорядку, посадових інструкцій, дотримуватись дисципліни праці;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Дотримуватись вимог з охорони праці, техніки безпеки, виробничої санітарії, протипожежної безпеки, передбачених відповідними правилами та інструкціями;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Берегти обладнання, інвентар, матеріали.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Педагогічні працівники окрім обов’язків визначених частиною 3.3. даного Положення зобов’язані: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забезпечувати умови для засвоєння учнями навчальних програм на рівні обов'язкових державних вимог, сприяти розвиткові здібностей дітей;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настановленням та особистим прикладом утверджувати повагу до принципів загальнолюдської моралі, правди, справедливості, відданості, патріотизму, гуманізму, доброти, стриманості, працелюбства, поміркованості та інших доброчинностей;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додержуватися педагогічної етики, моралі, поважати гідність дитини;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захищати дітей від будь-яких форм насильства, запобігати шкідливим звичкам;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постійно підвищувати професійний рівень, педагогічну майстерність та загальну культуру;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Коло обов'язків (робіт), що їх виконує кожний працівник за своєю спеціальністю, кваліфікацією чи посадою, визначається посадовими інструкціями, ці обов'язки можуть конкретизуватись в наказах, положеннях, порядках та ін.. документах нормативного характеру.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ОСНОВНІ ОБОВЯЗКИ АДМІНІСТРАЦІЇ УЧИЛИЩА: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4.1 .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Директор училища та його заступники зобов'язані: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</w:t>
        <w:tab/>
        <w:t xml:space="preserve">забезпечити необхідні організаційні та економічні умови для проведення навчально-виховного процесу на рівні державних стандартів освіти, для ефективної роботи педагогічних та інших працівників відповідно до їх спеціальності та кваліфікації;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</w:t>
        <w:tab/>
        <w:t xml:space="preserve">визначити працівникам робочі місця, забезпечувати необхідними засобами роботи;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</w:t>
        <w:tab/>
        <w:t xml:space="preserve">доводити до відома педагогічних працівників в кінці навчального року (до надання відпустки) педагогічне навантаження в наступному навчальному році, шляхом формування наказу та ознайомлення з ним під розписку;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</w:t>
        <w:tab/>
        <w:t xml:space="preserve">видавати зарплату працівникам у встановлені строки. У разі, коли день виплати заробітної плати збігається з вихідним, святковим або неробочим днем, заробітна плата виплачується в день, що передує такому дню. Надавати відпустки відповідно до графіка відпусток;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д) 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обов'язків 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е)</w:t>
        <w:tab/>
        <w:t xml:space="preserve">дотримуватись чинного законодавства, зміцнення договірної та трудової дисципліни;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є) додержуватись умов колективного договору, з розумінням ставитись до повсякденних потреб працівників, забезпечувати надання їм установлених пільг і привілеїв;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ж)</w:t>
        <w:tab/>
        <w:t xml:space="preserve">своєчасно подавати органам державної влади встановлену статистичну та бухгалтерську інформацію та відомості для забезпечення гарантованих законом прав працівників;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з)  забезпечувати належне утримання приміщень, опалення, освітлення, вентиляції, обладнання.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РОБОЧИЙ ЧАС ТА ЙОГО ВИКОРИСТАННЯ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працівників встановлюється п'ятиденний робочий тиждень з двома вихідними днями. Тривалість щоденної роботи, час початку, закінчення роботи, обідньої перерви, чергувань, графіки змінності, а також зміни в них затверджує директор за погодженням з профкомом з додержанням тривалості робочого тижня.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Початок роботи училища о 8:00 год., закінчення роботи – о 17:00 год. з обідньою перервою одна година з 12:00 год. до 13:00 год. Тривалість роботи адміністративного та технічного персоналу - 40 годин на тиждень, для педагогічних працівників тривалість роботи визначається тарифікаційною сіткою - 720 годин на рік, погодженим із профкомом, а також планом роботи училища за погодженням з виборним органом первинної профспілкової організації, окремим групам працівників може встановлюватись  час початку і закінчення роботи виходячи з потреби забезпечення роботи училища.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відсутності педагога або іншого педпрацівника керівник зобов'язаний терміново вжити заходів щодо його заміни іншим педпрацівником.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Надурочна робота у вихідні та святкові дні допускається у виняткових випадках для окремих працівників за письмовим наказом директора з дозволу профкому. Така робота може компенсуватись за погодженням сторін наданням іншого дня відпочинку або в грошовій формі в подвійному розмірі.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Педагогічним працівникам, може надаватись вільний від уроків день для методичної роботи, участі в районних та інших методичних заходах.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Під</w:t>
        <w:tab/>
        <w:t xml:space="preserve">час канікул, що не збігаються з черговою відпусткою, педагогічні працівники залучаються до педагогічної та організаційної роботи в межах часу, що не перевищує  навчального навантаження до початку канікул.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Графік </w:t>
        <w:tab/>
        <w:t xml:space="preserve">надання відпусток погоджується з профкомом і складається на кожен календарний рік.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Працівникам забороняється :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</w:t>
        <w:tab/>
        <w:t xml:space="preserve">змінювати на свій розсуд розклад, тривалість занять, перерв, графіки роботи, відпусток;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</w:t>
        <w:tab/>
        <w:t xml:space="preserve">передоручати виконання трудових обов'язків.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ЗАОХОЧЕННЯ ЗА УСПІХИ В РОБОТІ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зразкове виконання своїх обов'язків, тривалу і бездоганну роботу новаторство праці і за інші досягнення в роботі можуть застосовуватись заохочення: подяка, нагородження грамотою адміністрації та профкому, преміювання за рахунок економії коштів та за ст. 57 Закону України „ Про освіту".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досягнення високих досягнень у навчанні і вихованні дітей працівники представляються до нагородження державними нагородами, присвоєння звань, нагородження грамотами Міністерства освіти і науки, обласного департаменту освіти.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можуть нагороджуватись ювілейними грамотами до 50 - річчя, 55 - річчя, 60 - річчя, з дня народження, 25 - річчя, 30 - річчя, 40 - річчя роботи в училищі.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Заохочення оголошується в наказі по училищу доводяться до відому колективу і заносяться до трудової книжки працівника.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СТЯГНЕННЯ ЗА ПОРУШЕННЯ ТРУДОВОЇ ДИСЦИПЛІНИ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порушення трудової дисципліни до працівника може бути застосовано один з таких заходів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догана ; 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звільнення.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Звільнення як дисциплінарне стягнення може бути застосоване відповідно до п.п, 3,4,7,8, ст.40 ,ст.4І Кодексу Законів про Працю України.</w:t>
      </w:r>
    </w:p>
    <w:p>
      <w:pPr>
        <w:numPr>
          <w:ilvl w:val="0"/>
          <w:numId w:val="7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Члени профкому не можуть бути піддані дисциплінарному стягненню без попередньої згоди профкому, голова профкому - президії районної профспілкової організації.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застосування дисциплінарного стягнення адміністрація повинна зажадати від порушника трудової дисципліни письмового пояснення. У випадку відмови працівника складається відповідний акт.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випадку звільнення працівника з ініціативи власника роботодавець подає письмовий запит до профкому про надання згоди профкому.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кожне порушення трудової дисципліни накладається тільки одне дисциплінарне стягнення.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Дисциплінарне стягнення оголошується в наказі по училищу і повідомляється працівникові під розписку, а в разі його відмови складається відповідний акт.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Стосовно осіб, які порушили дисципліну, встановити, що за отримання дисциплінарного стягнення знімається 100 % премії в разі якщо таке стягнення не буде знято або погашено до дня преміювання.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Якщо протягом року з дня накладання стягнення працівника не буде піддано новому стягненню, то він вважається таким, що не мав стягнення. Якщо працівник не допустив нового порушення трудової дисципліни і до того ж проявив себе як сумлінний працівник , то стягнення може бути зняте до закінчення року, про що видається наказ.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Адміністрація училища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внутрішнього розпорядку вивішуються в закладах освіти на видному місці.</w:t>
      </w:r>
    </w:p>
    <w:p>
      <w:pPr>
        <w:numPr>
          <w:ilvl w:val="0"/>
          <w:numId w:val="72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05"/>
        <w:gridCol w:w="1316"/>
        <w:gridCol w:w="505"/>
        <w:gridCol w:w="3905"/>
        <w:gridCol w:w="1495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  <w:tr>
        <w:trPr>
          <w:trHeight w:val="1" w:hRule="atLeast"/>
          <w:jc w:val="center"/>
        </w:trPr>
        <w:tc>
          <w:tcPr>
            <w:tcW w:w="47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08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8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№2 до колективного договору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Перелік посад працівників з ненормованим робочим днем, що працюють на повну ставку, яким може надаватись додаткова оплачувана відпустка тривалістю до 7 календарних днів</w:t>
      </w:r>
    </w:p>
    <w:tbl>
      <w:tblPr/>
      <w:tblGrid>
        <w:gridCol w:w="817"/>
        <w:gridCol w:w="3402"/>
        <w:gridCol w:w="567"/>
        <w:gridCol w:w="709"/>
        <w:gridCol w:w="2410"/>
        <w:gridCol w:w="1291"/>
        <w:gridCol w:w="375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Найменування виробництв, професій та посад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Тривалість щорічної відпустки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днів додаткової відпустки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Головний бухгалтер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Бухгалтер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Бухгалтер-калькулятор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Секретар-друкарка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Комірник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Завідувач господарством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Токар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Комендант гуртожитку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Кастелянка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Лаборант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Слюсар-ремонтник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Робітник з комплексного обслуговування та ремонту будівель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Черговий по гуртожитку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Технік з експлуатації приміщень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Механік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Медична сестра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 навчальної частини (диспетчер)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Інженер електронник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Юрисконсульт І категорії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Провідний бібліотекар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Сторож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Інспектор по кадрах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Водій автобуса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Шеф-кухар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Двірник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Підсобний робітник їдальні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24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Електромонтер з обслуговування та ремонту електроустаткування.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93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</w:t>
            </w:r>
          </w:p>
        </w:tc>
        <w:tc>
          <w:tcPr>
            <w:tcW w:w="4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Інспектор з охорони праці.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№3 до колективного договору</w:t>
      </w:r>
    </w:p>
    <w:p>
      <w:pPr>
        <w:numPr>
          <w:ilvl w:val="0"/>
          <w:numId w:val="21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ПЕРЕЛІК</w:t>
      </w:r>
    </w:p>
    <w:p>
      <w:pPr>
        <w:numPr>
          <w:ilvl w:val="0"/>
          <w:numId w:val="21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професій і посад із шкідливими умовами праці, зайнятість працівників на роботах в яких дає право на щорічну додаткову відпустку та її тривалість</w:t>
      </w:r>
    </w:p>
    <w:p>
      <w:pPr>
        <w:numPr>
          <w:ilvl w:val="0"/>
          <w:numId w:val="21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>
        <w:tblInd w:w="5" w:type="dxa"/>
      </w:tblPr>
      <w:tblGrid>
        <w:gridCol w:w="502"/>
        <w:gridCol w:w="6752"/>
        <w:gridCol w:w="2153"/>
      </w:tblGrid>
      <w:tr>
        <w:trPr>
          <w:trHeight w:val="911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Найменування професій та посад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Кількість днів</w:t>
            </w:r>
          </w:p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додаткової відпустки</w:t>
            </w:r>
          </w:p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календарних днях</w:t>
            </w:r>
          </w:p>
        </w:tc>
      </w:tr>
      <w:tr>
        <w:trPr>
          <w:trHeight w:val="334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Кухар, який працює біля плити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649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Машиніст (кочегар) котельні(на вугіллі), у тому числі зайнятий видаленням золи (старший)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329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Опалювач, зайнятий опаленням печей дров'яним паливом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605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Оператор пральних машин зайнятий пранням білизни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8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Робочі по кухні та робочі по залу, зайняті прибиранням і використанням хімічних засобів.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10"/>
              </w:numPr>
              <w:spacing w:before="0" w:after="0" w:line="240"/>
              <w:ind w:right="0" w:left="284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4</w:t>
            </w:r>
          </w:p>
        </w:tc>
      </w:tr>
      <w:tr>
        <w:trPr>
          <w:trHeight w:val="329" w:hRule="auto"/>
          <w:jc w:val="left"/>
        </w:trPr>
        <w:tc>
          <w:tcPr>
            <w:tcW w:w="94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особливий характер без атестації робочих місць</w:t>
            </w:r>
          </w:p>
        </w:tc>
      </w:tr>
      <w:tr>
        <w:trPr>
          <w:trHeight w:val="532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Прибиральник службових приміщень, зайнятий прибиранням загальних убиралень і санвузлів. 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618" w:hRule="auto"/>
          <w:jc w:val="left"/>
        </w:trPr>
        <w:tc>
          <w:tcPr>
            <w:tcW w:w="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261" w:left="19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Водій автомобіля вантажністю від 1,5 тонни до 3 т.</w:t>
            </w:r>
          </w:p>
        </w:tc>
        <w:tc>
          <w:tcPr>
            <w:tcW w:w="2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</w:tbl>
    <w:p>
      <w:pPr>
        <w:numPr>
          <w:ilvl w:val="0"/>
          <w:numId w:val="21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________________ 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№4 до колективного договору</w:t>
      </w:r>
    </w:p>
    <w:p>
      <w:pPr>
        <w:numPr>
          <w:ilvl w:val="0"/>
          <w:numId w:val="264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ПЕРЕЛІК</w:t>
      </w:r>
    </w:p>
    <w:p>
      <w:pPr>
        <w:numPr>
          <w:ilvl w:val="0"/>
          <w:numId w:val="264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доплат, надбавок до тарифних ставок і посад окладів працівників підприємств, установ і організацій, що мають міжгалузевий характер</w:t>
      </w:r>
    </w:p>
    <w:p>
      <w:pPr>
        <w:numPr>
          <w:ilvl w:val="0"/>
          <w:numId w:val="264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>
        <w:tblInd w:w="16" w:type="dxa"/>
      </w:tblPr>
      <w:tblGrid>
        <w:gridCol w:w="4957"/>
        <w:gridCol w:w="4982"/>
      </w:tblGrid>
      <w:tr>
        <w:trPr>
          <w:trHeight w:val="370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Доплати і надбавки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Розміри доплат і надбавок</w:t>
            </w:r>
          </w:p>
        </w:tc>
      </w:tr>
      <w:tr>
        <w:trPr>
          <w:trHeight w:val="994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Доплати За суміщення професій ( посад)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тарифної ставки, окладу суміщених посад працівників</w:t>
            </w:r>
          </w:p>
        </w:tc>
      </w:tr>
      <w:tr>
        <w:trPr>
          <w:trHeight w:val="1039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розширення зони обслуговування або збільшення обсягу робіт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тарифної ставки окладу, які могли б виплачуватися за умови додержання нормативної кількості працівників</w:t>
            </w:r>
          </w:p>
        </w:tc>
      </w:tr>
      <w:tr>
        <w:trPr>
          <w:trHeight w:val="714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виконання обов'язків тимчасово відсутнього працівника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тарифної ставки , окладу відсутнього працівника</w:t>
            </w:r>
          </w:p>
        </w:tc>
      </w:tr>
      <w:tr>
        <w:trPr>
          <w:trHeight w:val="696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складність і напруженість у роботі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тарифної ставки ,</w:t>
            </w:r>
          </w:p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окладу</w:t>
            </w:r>
          </w:p>
        </w:tc>
      </w:tr>
      <w:tr>
        <w:trPr>
          <w:trHeight w:val="1018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роботу у нічний час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відсотків годинної тарифної ставки, посадового окладу за кожну годину роботи в цей час</w:t>
            </w:r>
          </w:p>
        </w:tc>
      </w:tr>
      <w:tr>
        <w:trPr>
          <w:trHeight w:val="520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Водіям автотранспортних засобів: Доплати за ненормований робочий день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 розмірі 25 відсотків тарифної ставки за відпрацьований час</w:t>
            </w:r>
          </w:p>
        </w:tc>
      </w:tr>
      <w:tr>
        <w:trPr>
          <w:trHeight w:val="1315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використання у роботі дезінфікуючих засобів, а також працівникам, які зайняті прибиранням</w:t>
            </w:r>
          </w:p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туалетів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 розмірі 10 відсотків посадового місячного окладу</w:t>
            </w:r>
          </w:p>
        </w:tc>
      </w:tr>
      <w:tr>
        <w:trPr>
          <w:trHeight w:val="915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Надбавки</w:t>
            </w:r>
          </w:p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класність водіям легкових та вантажних автомобілів, автобусів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Водіям 2 класу - 10 відсотків Водіям 1 класу - 25 відсотків встановленої тарифної ставки за відпрацьований водієм час</w:t>
            </w:r>
          </w:p>
        </w:tc>
      </w:tr>
      <w:tr>
        <w:trPr>
          <w:trHeight w:val="390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високі досягнення в праці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посадового окладу</w:t>
            </w:r>
          </w:p>
        </w:tc>
      </w:tr>
      <w:tr>
        <w:trPr>
          <w:trHeight w:val="708" w:hRule="auto"/>
          <w:jc w:val="center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виконання особливо важливої роботи на певний термін</w:t>
            </w:r>
          </w:p>
        </w:tc>
        <w:tc>
          <w:tcPr>
            <w:tcW w:w="4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50 відсотків посадового окладу</w:t>
            </w:r>
          </w:p>
        </w:tc>
      </w:tr>
    </w:tbl>
    <w:p>
      <w:pPr>
        <w:numPr>
          <w:ilvl w:val="0"/>
          <w:numId w:val="264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________________ 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3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№5 до колективного договору</w:t>
      </w:r>
    </w:p>
    <w:p>
      <w:pPr>
        <w:numPr>
          <w:ilvl w:val="0"/>
          <w:numId w:val="3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ПЕРЕЛІК</w:t>
      </w:r>
    </w:p>
    <w:p>
      <w:pPr>
        <w:numPr>
          <w:ilvl w:val="0"/>
          <w:numId w:val="31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професій і посад із шкідливими умовами праці, на які встановлюється доплат робітникам за умовами праці та її розміри та видається молоко</w:t>
      </w:r>
    </w:p>
    <w:p>
      <w:pPr>
        <w:numPr>
          <w:ilvl w:val="0"/>
          <w:numId w:val="3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65"/>
        <w:gridCol w:w="6524"/>
        <w:gridCol w:w="1313"/>
        <w:gridCol w:w="1283"/>
      </w:tblGrid>
      <w:tr>
        <w:trPr>
          <w:trHeight w:val="692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Найменування професій і посад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Доплата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Кількість</w:t>
            </w:r>
          </w:p>
        </w:tc>
      </w:tr>
      <w:tr>
        <w:trPr>
          <w:trHeight w:val="349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44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Кухар, який працює біля плити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12%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673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Машиніст ( кочегар ) котельні ( на вугіллі), у тому числі зайнятий видаленням золи ( старший)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12%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0.5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</w:t>
            </w:r>
          </w:p>
        </w:tc>
      </w:tr>
      <w:tr>
        <w:trPr>
          <w:trHeight w:val="339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Опалювач, зайнятий опаленням печей дров'яним паливом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8%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49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Оператор пральних машин, зайнятий пранням білизни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8%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9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особливий характер праці без атестації робочих місць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-</w:t>
            </w:r>
          </w:p>
        </w:tc>
      </w:tr>
      <w:tr>
        <w:trPr>
          <w:trHeight w:val="668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Прибиральник службових приміщень, зайнятий прибиранням загальних убиралень і санвузлів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10%</w:t>
            </w:r>
          </w:p>
        </w:tc>
        <w:tc>
          <w:tcPr>
            <w:tcW w:w="1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-</w:t>
            </w:r>
          </w:p>
        </w:tc>
      </w:tr>
    </w:tbl>
    <w:p>
      <w:pPr>
        <w:numPr>
          <w:ilvl w:val="0"/>
          <w:numId w:val="3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1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35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Додаток № 6 до колективного договору</w:t>
      </w:r>
    </w:p>
    <w:p>
      <w:pPr>
        <w:numPr>
          <w:ilvl w:val="0"/>
          <w:numId w:val="35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numPr>
          <w:ilvl w:val="0"/>
          <w:numId w:val="35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встановлення надбавок до заробітної плати за високі досягнення у праці учителям, які підготували призерів обласних олімпіад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до заробітної плати за високі досягнення у праці встановлюється з метою пропаганди передового педагогічного досвіду стимулювання праці кращих педагогів, відзначення їх досягнень у роботі з обдарованими дітьми.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встановлюється на підставі положень постанови Кабінету Міністрів України від 30.08.2002. р. № 1298 „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(із змінами, внесеними постановою Кабінету Міністрів України від 22.08.2005 р. № 790), пп..З та 52 інструкції про порядок обчислення заробітної плати працівників освіти, затверджено наказом Міністерства освіти України від 15.04.1993 р. № 102, п.4.2 наказу Міністерства освіти і науки України від 26.09.2005 р. № 557, угоди між відділом освіти райдержадміністрації та районною організацією Профспілки працівників освіти.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встановлюється в розмірі до 30% посадового окладу учителям, які підготували призерів обласних та республіканських предметних олімпіад диференційовано відповідно до зайнятих учнями місць: за підготовку призерів республіканських олімпіад-30% ставки; 1 місце в обласних олімпіадах-20%   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ІІ місце в обласних олімпіадах-15% ІІІ місце в обласних олімпіадах-10%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разі підготовки одним учителем кількох призерів встановлюється одна надбавка - по вищому місцю.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встановлюється терміном на один календарний рік.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виплачується: за рахунок поквартального фонду економії заробітної плати, надалі закладатиметься у план асигнувань з зального фонду бюджету за КЕВК 1110 „ Оплата праці працівників".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нараховується і виплачується щомісячно одночасно із заробітною платою.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Виплата розпочинається в наступному місяці після отримання наказу управління освіти і науки облдержадміністрації про підсумки проведення обласних олімпіад.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Надбавка знімається в разі отримання працівником дисциплінарного стягнення.</w:t>
      </w:r>
    </w:p>
    <w:p>
      <w:pPr>
        <w:numPr>
          <w:ilvl w:val="0"/>
          <w:numId w:val="35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________________ 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№7 до колективного договору</w:t>
      </w:r>
    </w:p>
    <w:p>
      <w:pPr>
        <w:numPr>
          <w:ilvl w:val="0"/>
          <w:numId w:val="37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numPr>
          <w:ilvl w:val="0"/>
          <w:numId w:val="37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порядок надання щорічної грошової винагороди педагогічним працівникам за сумлінну працею і зразкове виконання службових обов'язків.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Щорічна грошова винагорода педагогічним працівникам за сумлінну працю і зразкове виконання службових обов'язків надається відповідно до абз.9 ст. 57 Закону України „ Про освіту", порядку надання щорічної грошової винагороди педагогічним працівникам навчальних закладів державної та комунальної форм власності за сумлінну працю і зразкову виконання службових обов'язків, затвердженого постановою Кабінету Міністрів України від 5.06.2000 року №898, угоди між відділом освіти райдержадміністрації і районним комітетом Профспілки та цього Положення.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Винагорода надається кожного року усім педагогічним працівникам закладу, за виключенням:</w:t>
      </w:r>
    </w:p>
    <w:p>
      <w:pPr>
        <w:numPr>
          <w:ilvl w:val="0"/>
          <w:numId w:val="370"/>
        </w:numPr>
        <w:spacing w:before="0" w:after="0" w:line="360"/>
        <w:ind w:right="0" w:left="72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працівників, які працюють в даному закладі за сумісництвом; </w:t>
      </w:r>
    </w:p>
    <w:p>
      <w:pPr>
        <w:numPr>
          <w:ilvl w:val="0"/>
          <w:numId w:val="370"/>
        </w:numPr>
        <w:spacing w:before="0" w:after="0" w:line="360"/>
        <w:ind w:right="0" w:left="72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працівників, які мають не зняте дисциплінарне стягнення.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Винагорода надається педагогічним працівникам як правило до професійного свята - Дня працівника освіти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Розмір винагороди кожному працівнику визначається на суспільному засіданні керівництва закладу та профкому.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визначенні розміру винагороди враховується:</w:t>
      </w:r>
    </w:p>
    <w:p>
      <w:pPr>
        <w:numPr>
          <w:ilvl w:val="0"/>
          <w:numId w:val="370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сумлінна праця, зразкове виконання службових обов'язків, виконання правил внутрішнього трудового розпорядку.</w:t>
      </w:r>
    </w:p>
    <w:p>
      <w:pPr>
        <w:numPr>
          <w:ilvl w:val="0"/>
          <w:numId w:val="370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досягнення успіху у навчанні та вихованні дітей, участь у районних, обласних олімпіадах, змаганнях, конкурсах, оглядах тощо;</w:t>
      </w:r>
    </w:p>
    <w:p>
      <w:pPr>
        <w:numPr>
          <w:ilvl w:val="0"/>
          <w:numId w:val="370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збереження та використання учбово-матеріальної бази та технічних засобів навчання, оформлення кабінетів та майстерень, виготовлення наочності;</w:t>
      </w:r>
    </w:p>
    <w:p>
      <w:pPr>
        <w:numPr>
          <w:ilvl w:val="0"/>
          <w:numId w:val="370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проведення відкритих уроків, позакласних заходів, робота з батьками; додержання вимог з охорони праці та техніки безпеки, санітарно - гігієнічного режиму;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визначенні розміру винагороди враховується час фактичної роботи працівника протягом відповідного навчального року.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Винагорода надається на підставі наказу керівника, погодженого з профкомом.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Розмір щорічної грошової винагороди не може перевищувати одного посадового окладу ( ставки заробітної плати ) з урахуванням підвищень на день надання наказу про виплату винагород</w:t>
      </w: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Працівники, які у зв'язку із застосуванням до них дисциплінарних стягнень не одержали винагороди, у разі визначення таких дисциплінарних стягнень не правомірними винагорода виплачується у розмірі, не меншому за середній розмір винагороди по даному закладу освіти.</w:t>
      </w:r>
    </w:p>
    <w:p>
      <w:pPr>
        <w:numPr>
          <w:ilvl w:val="0"/>
          <w:numId w:val="370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7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 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 ________________ 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№8 до колективного договору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преміювання педагогічних працівників.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педагогічних працівників з метою стимулювання творчої за досягнення вагомих результатів у підвищенні ефективності та якості навчально-виховної роботи запроваджене, спираючись на постанову Кабінету Міністрів України від 30.08.2002 року №1298, наказу Міністерства освіти і науки України від 26.09.2005 р за рахунок коштів, закладених у бюджет, а також за рахунок фонду економії коштів та спеціального фонду бюджету училища.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проводиться: за підсумками роботи в календарному році - в листопаді - грудні, за підсумками роботи в місяці, за підсумками роботи в кварталі за наслідками конкурсів, оглядів, олімпіад - не пізніше як через місяць після підведення підсумків, у зв'язку з ювілейними, святковими днями - до цих дат.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Розмір премії кожного працівника визначається із врахуванням в якості його роботи, внеску у виконання планів і завдань, фактично відпрацьованого протягом року часу та погоджується з профспілковим комітетом.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Педагогічні працівники преміюються за: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призові місця, а також за активну участь в районних конкурсах на районну Педагогічну премію, Учитель року, вихователю року, на кращій навчальний кабінет та інших;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досягнення високих результатів учнів на районних олімпіадах, змаганнях, конкурсах;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досконале володіння різноманітними ефективними методами і прийомами організації навчально – виховної роботи;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високий рівень організації позакласної та позашкільної роботи, вплив на виховання в дітей громадянської свідомості та активності;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створення власного педагогічного стилю в роботі;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активне впровадження інноваційних технологій, передового педагогічного досвіду;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якісну організацію роботи методичних об'єднань, творчих груп, роботи з молодими педагогами тощо;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високу якість фахової підготовки та роботи над підвищенням кваліфікації;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вагомі внески в удосконалення обладнання навчального кабінету,</w:t>
      </w:r>
    </w:p>
    <w:p>
      <w:pPr>
        <w:numPr>
          <w:ilvl w:val="0"/>
          <w:numId w:val="38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активну громадську роботу, високий рівень загальної культури.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преміюванні можуть бути враховані й інші показники, що випливають з конкретних умов, видів діяльності і сприяють вирішенню завдань виховання підростаючого покоління, відображають чесну і добросовісну працю, достойну поведінку та високій моральний обов'язок.</w:t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можуть преміюватись працівники, які отримали дисциплінарні стягнення в поточному році, пройшли атестацію с пониженням категорій.</w:t>
        <w:tab/>
      </w: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 метою морального і матеріального стимулювання праці випускників педагогічних навчальних закладів вони можуть відзначитись заохочувальними преміями або цінними подарунками під час урочистої посвяти у вчителі.</w:t>
      </w:r>
    </w:p>
    <w:p>
      <w:pPr>
        <w:numPr>
          <w:ilvl w:val="0"/>
          <w:numId w:val="38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№9 до колективного договору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9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преміювання працівників з числа обслуговуючого персоналу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працівників з числа обслуговуючого персоналу запроваджене з метою стимулювання добросовісної праці, за досягнення у створенні належних умов для ефективної діяльності навчального закладу.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може проводитись за рахунок коштів, закладених у кошторис відповідно до положень постанови Кабінету Міністрів України від 30.08.02 р №1298, а також за рахунок економії фонду зарплат та за рахунок спеціального фонду бюджету училища.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може здійснюватись за наслідками роботи за рік, за квартал та за місяць.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Розмір премії визначається із врахуванням якості роботи працівника, особистого внеску у виконання планів і завдань та погоджується з профкомом.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преміюються за:</w:t>
      </w:r>
    </w:p>
    <w:p>
      <w:pPr>
        <w:numPr>
          <w:ilvl w:val="0"/>
          <w:numId w:val="40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добросовісне та ініціативне ставлення до виконання посадових обов'язків, дотримання правил внутрішнього трудового розпорядку;</w:t>
      </w:r>
    </w:p>
    <w:p>
      <w:pPr>
        <w:numPr>
          <w:ilvl w:val="0"/>
          <w:numId w:val="40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утримання в належному експлуатаційному порядку приміщень, господарського обладнання, інвентарю і територій;</w:t>
      </w:r>
    </w:p>
    <w:p>
      <w:pPr>
        <w:numPr>
          <w:ilvl w:val="0"/>
          <w:numId w:val="40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активну участь у створенні необхідних умов праці працівників та дітей;</w:t>
      </w:r>
    </w:p>
    <w:p>
      <w:pPr>
        <w:numPr>
          <w:ilvl w:val="0"/>
          <w:numId w:val="40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ефективну роботу з матеріально - технічного забезпечення процесу навчання і виховання; внесок у покращення стану дотримання правил і норм безпеки життєдіяльності; забезпечення санітарно - гігієнічного режиму роботи закладу;</w:t>
      </w:r>
    </w:p>
    <w:p>
      <w:pPr>
        <w:numPr>
          <w:ilvl w:val="0"/>
          <w:numId w:val="409"/>
        </w:numPr>
        <w:spacing w:before="0" w:after="0" w:line="360"/>
        <w:ind w:right="0" w:left="709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знання та виконання кваліфікаційних характеристик.</w:t>
      </w: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преміюванні можуть бути враховані й інші показники, в т.ч. за конкретними посадами, умовами, видами робіт тощо. Порядок преміювання в таких випадках договору визначається окремими положеннями. </w:t>
      </w:r>
    </w:p>
    <w:p>
      <w:pPr>
        <w:numPr>
          <w:ilvl w:val="0"/>
          <w:numId w:val="40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9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426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№10 до колективного договору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6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преміювання працівників з числа фахівців та професіоналів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працівників з числа фахівців та професіоналів запроваджене з метою стимулювання добросовісної праці, за досягнення у створенні належних умов для ефективної діяльності навчального закладу.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може проводитись за рахунок коштів, закладених у кошторис відповідно до положень постанови Кабінету Міністрів України від 30.08.02 р №1298, а також за рахунок економії фонду заробітної плати та спеціального фонду бюджету училища.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Преміювання може здійснюватись за наслідками роботи за рік, за квартал та за місяць.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Розмір премії визначається із врахуванням якості роботи працівника, особистого внеску у виконання планів і завдань та погоджується з профкомом.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Працівники преміюються за: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добросовісне та ініціативне ставлення до виконання посадових обов'язків, дотримання правил внутрішнього трудового розпорядку;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виконання окремих доручень керівництва, органів державної влади України;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знання та виконання кваліфікаційних характеристик;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особистий внесок в покращення роботи навчального закладу;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преміюванні можуть бути враховані й інші показники, в т.ч. за конкретними посадами, умовами, видами робіт тощо. Порядок преміювання в таких випадках договору визначається окремими положеннями. </w:t>
      </w:r>
    </w:p>
    <w:p>
      <w:pPr>
        <w:numPr>
          <w:ilvl w:val="0"/>
          <w:numId w:val="426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440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№11 до колективного договору</w:t>
      </w:r>
    </w:p>
    <w:p>
      <w:pPr>
        <w:numPr>
          <w:ilvl w:val="0"/>
          <w:numId w:val="44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Комплексні заходи щодо досягнення встановлених нормативів безпеки, гігієни праці та виробничого середовища, підвищення рівня охорони праці, запобігання випадкам виробничого травматизму, професійним захворюванням і аваріям</w:t>
      </w:r>
    </w:p>
    <w:p>
      <w:pPr>
        <w:numPr>
          <w:ilvl w:val="0"/>
          <w:numId w:val="44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tbl>
      <w:tblPr>
        <w:tblInd w:w="152" w:type="dxa"/>
      </w:tblPr>
      <w:tblGrid>
        <w:gridCol w:w="359"/>
        <w:gridCol w:w="1762"/>
        <w:gridCol w:w="637"/>
        <w:gridCol w:w="624"/>
        <w:gridCol w:w="1888"/>
        <w:gridCol w:w="1272"/>
        <w:gridCol w:w="1281"/>
        <w:gridCol w:w="1689"/>
      </w:tblGrid>
      <w:tr>
        <w:trPr>
          <w:trHeight w:val="715" w:hRule="auto"/>
          <w:jc w:val="left"/>
        </w:trPr>
        <w:tc>
          <w:tcPr>
            <w:tcW w:w="35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17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 заходів (робіт)</w:t>
            </w:r>
          </w:p>
        </w:tc>
        <w:tc>
          <w:tcPr>
            <w:tcW w:w="1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Вартість робіт, .грн..</w:t>
            </w:r>
          </w:p>
        </w:tc>
        <w:tc>
          <w:tcPr>
            <w:tcW w:w="31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Ефективність заходів</w:t>
            </w:r>
          </w:p>
        </w:tc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-44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</w:t>
            </w:r>
          </w:p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виконання</w:t>
            </w:r>
          </w:p>
        </w:tc>
        <w:tc>
          <w:tcPr>
            <w:tcW w:w="168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Відповідальні за</w:t>
            </w:r>
          </w:p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виконання</w:t>
            </w:r>
          </w:p>
        </w:tc>
      </w:tr>
      <w:tr>
        <w:trPr>
          <w:trHeight w:val="977" w:hRule="auto"/>
          <w:jc w:val="left"/>
        </w:trPr>
        <w:tc>
          <w:tcPr>
            <w:tcW w:w="35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Факт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Планується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Досягнуто</w:t>
            </w: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7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]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Провести навчання і перевірку знань з охорони праці керівників та спеціалістів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Підвищити існуючий рівень знань з питань з охорони праці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 інженер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охорони праці</w:t>
            </w:r>
          </w:p>
        </w:tc>
      </w:tr>
      <w:tr>
        <w:trPr>
          <w:trHeight w:val="2237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Проведення періодичного медогляду працівників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4000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Планується здійснити медогляд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100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працівників захід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сприятиме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профілактиці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захворювань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Інженер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охорони праці, кадровик</w:t>
            </w:r>
          </w:p>
        </w:tc>
      </w:tr>
      <w:tr>
        <w:trPr>
          <w:trHeight w:val="1957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Закупити і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видати спецодяг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Закупити спецодяг для працівників, покращити стан забезпечення спецодягом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Інженер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охорони праці</w:t>
            </w:r>
          </w:p>
        </w:tc>
      </w:tr>
      <w:tr>
        <w:trPr>
          <w:trHeight w:val="1682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Проводити контрольний замір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заземлених контурів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6000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Забезпечити проведення контрольних замірів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Електрик</w:t>
            </w:r>
          </w:p>
        </w:tc>
      </w:tr>
      <w:tr>
        <w:trPr>
          <w:trHeight w:val="1131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Провести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установку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громовідводів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Підготовити і установити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Завідувач господарств</w:t>
            </w:r>
          </w:p>
        </w:tc>
      </w:tr>
      <w:tr>
        <w:trPr>
          <w:trHeight w:val="1131" w:hRule="auto"/>
          <w:jc w:val="left"/>
        </w:trPr>
        <w:tc>
          <w:tcPr>
            <w:tcW w:w="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Придбати медикаменти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Проведення обліку і контролю за їх використанням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Медична сестра</w:t>
            </w:r>
          </w:p>
          <w:p>
            <w:pPr>
              <w:numPr>
                <w:ilvl w:val="0"/>
                <w:numId w:val="45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numPr>
          <w:ilvl w:val="0"/>
          <w:numId w:val="45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ПОГОДЖЕНО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ЗАТВЕРДЖУЮ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                                           </w:t>
      </w:r>
    </w:p>
    <w:p>
      <w:pPr>
        <w:numPr>
          <w:ilvl w:val="0"/>
          <w:numId w:val="507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№12 до колективного договору</w:t>
      </w: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ПЕРЕЛІК</w:t>
      </w:r>
    </w:p>
    <w:p>
      <w:pPr>
        <w:numPr>
          <w:ilvl w:val="0"/>
          <w:numId w:val="50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професій і посад працівників, яким видається безоплатно спецодяг, спецвзуття та інші засоби індивідуального захисту.</w:t>
      </w: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>
        <w:tblInd w:w="708" w:type="dxa"/>
      </w:tblPr>
      <w:tblGrid>
        <w:gridCol w:w="578"/>
        <w:gridCol w:w="3010"/>
        <w:gridCol w:w="2310"/>
        <w:gridCol w:w="1724"/>
        <w:gridCol w:w="1845"/>
      </w:tblGrid>
      <w:tr>
        <w:trPr>
          <w:trHeight w:val="113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 виробництв, цехів, професій і посад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Найменування спецодягу, спецвзуття та інших заходів захисту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експлуатації, місяців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9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Примітка (заміна, що дозволяється)</w:t>
            </w:r>
          </w:p>
        </w:tc>
      </w:tr>
      <w:tr>
        <w:trPr>
          <w:trHeight w:val="1005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Майстри виробничого навчання електрогазозварників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Спецівка, рукавиці.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5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Майстри виробничого навчання кухарі, кондитери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Халати, ковпаки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Водії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Рукавиці, 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мило (400г.)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Електрики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Рукавиці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Кочегари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Рукавиці, мило(400г.)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7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Опалювачі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Рукавиці, 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мило (400г)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7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№13 до колективного договору</w:t>
      </w: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ПЕРЕЛІК</w:t>
      </w:r>
    </w:p>
    <w:p>
      <w:pPr>
        <w:numPr>
          <w:ilvl w:val="0"/>
          <w:numId w:val="57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питань соціально - економічного і правового характеру, що погоджуються керівником навчального закладу та комітетом профспілки.</w:t>
      </w:r>
    </w:p>
    <w:tbl>
      <w:tblPr/>
      <w:tblGrid>
        <w:gridCol w:w="549"/>
        <w:gridCol w:w="5224"/>
        <w:gridCol w:w="2617"/>
        <w:gridCol w:w="969"/>
      </w:tblGrid>
      <w:tr>
        <w:trPr>
          <w:trHeight w:val="610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Питання і документи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Підстава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Прим.</w:t>
            </w:r>
          </w:p>
        </w:tc>
      </w:tr>
      <w:tr>
        <w:trPr>
          <w:trHeight w:val="298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Правила внутрішнього трудового розпорядку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142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4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Попередній та остаточний розподіл навчального навантаження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п.п.24,25 Типових правил внутрішнього трудового розпорядку п. 63 Інструкції про порядок обчислення заробітної плати працівників освіти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Розклад уроків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п.25 Типових правил внутрішнього трудового розпорядку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Графіки робочого дня і змінності техперсоналу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 26 Типових правил ВТР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0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5,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Залучення працівнику у виняткових випадках до роботи у святкові, вихідні дні та до надурочних робіт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ст.71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Графіки відпусток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79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Прийом на роботу неповнолітніх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187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0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Склад атестаційної комісії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 6.1. Типового Положення про атестацію педпрацівників України 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2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Звільнення працівників за ініціативу адміністрації з підстав, передбачених п. І (крім ліквідації організації) п.п. 2-5-7 ст.40, п.п. 2,3 ст.41 КЗпП України, тобто при: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п.1 ст. 40 - скороченні штатів, реорганізації;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п.2 ст.40 - невідповідності посаді внаслідок недостатньої кваліфікації або стану здоров'я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п.З ст.40 - систематичного невиконання без поважних причин посадових обов'язків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 4 ст.40 - прогули без поважних причин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п.5 ст.40 - нез'явленні на роботу більше 4-х місяців внаслідок хвороби (крім особливого списку)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п.7 ст.40 - появи на роботу в нетверезому стані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п.2 ст.41 - винних діях при обслуговуванні матеріальних цінностях, якщо вони дають підстави для втрати довір’я </w:t>
            </w:r>
          </w:p>
          <w:p>
            <w:pPr>
              <w:numPr>
                <w:ilvl w:val="0"/>
                <w:numId w:val="571"/>
              </w:numPr>
              <w:spacing w:before="0" w:after="0" w:line="240"/>
              <w:ind w:right="213" w:left="187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п.З ст.41 - аморальну вчинку, несумісному з виховними функціями.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ст.,43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2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Накладання дисциплінарних стягнень на членів профкому ( на голову профкому погодження районного профспілкового органу)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252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Заходи з охорони праці та техніки безпеки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161 КЗпП України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Правила з техніки безпеки у навчальних кабінетах, майстернях, спортзалах, котельнях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Типові правила з техніки безпеки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21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Тарифікаційні списки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п.4 додатки 1,2,3 Інструкції про порядок обчислення з/плати працівників освіти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6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Перелік працівників із числа адміністративно - господарського, навчально-допоміжного персоналу, які мають право на підвищення посадових окладів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п.З 1 тієї ж Інструкції (на 15-25%)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3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Доплати за суміщення професії (посад). Розширення зони обслуговування чи збільшення обсягів виконуваних робіт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 52 там же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6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Положення про преміювання розміри матеріальної допомоги та премії працівникам та керівникам установ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п.52, там же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4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іік робіт, на які встановлюються доплати за важкі і несприятливі і праці, атестація робочих місць, розміри доплат за видами робіт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Додаток № 9 до цієї ж інструкції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Надання відпусток, передбачені діючим законодавством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11 Закону України „ Про відпустки"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7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Інші питання, передбачені діючим законодавством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1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Додаток №14 до колективного договору</w:t>
      </w: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СКЛАД</w:t>
      </w:r>
    </w:p>
    <w:p>
      <w:pPr>
        <w:numPr>
          <w:ilvl w:val="0"/>
          <w:numId w:val="70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робочої комісії з контролю за виконанням колективного договору</w:t>
      </w:r>
    </w:p>
    <w:tbl>
      <w:tblPr/>
      <w:tblGrid>
        <w:gridCol w:w="1326"/>
        <w:gridCol w:w="2411"/>
        <w:gridCol w:w="5992"/>
      </w:tblGrid>
      <w:tr>
        <w:trPr>
          <w:trHeight w:val="51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П.І.Б.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Посада (Професія)</w:t>
            </w:r>
          </w:p>
        </w:tc>
      </w:tr>
      <w:tr>
        <w:trPr>
          <w:trHeight w:val="503" w:hRule="auto"/>
          <w:jc w:val="left"/>
        </w:trPr>
        <w:tc>
          <w:tcPr>
            <w:tcW w:w="9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Від адміністрації:</w:t>
            </w:r>
          </w:p>
        </w:tc>
      </w:tr>
      <w:tr>
        <w:trPr>
          <w:trHeight w:val="591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Бондар А.О.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Заступник директора з навчально-виробничої роботи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Сливка Б.Б.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Старший майстер</w:t>
            </w:r>
          </w:p>
        </w:tc>
      </w:tr>
      <w:tr>
        <w:trPr>
          <w:trHeight w:val="336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Затула В.І.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Головний бухгалтер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Дмитрашик Л.Г.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Інженер з охорони праці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Шевчук В.А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Юрисконсульт</w:t>
            </w:r>
          </w:p>
        </w:tc>
      </w:tr>
      <w:tr>
        <w:trPr>
          <w:trHeight w:val="494" w:hRule="auto"/>
          <w:jc w:val="left"/>
        </w:trPr>
        <w:tc>
          <w:tcPr>
            <w:tcW w:w="9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Від профспілки: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Антонов С.В.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Голова профкому</w:t>
            </w:r>
          </w:p>
        </w:tc>
      </w:tr>
      <w:tr>
        <w:trPr>
          <w:trHeight w:val="508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Спірідонов С.В.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Викладач</w:t>
            </w:r>
          </w:p>
        </w:tc>
      </w:tr>
      <w:tr>
        <w:trPr>
          <w:trHeight w:val="42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Пустіва В.В.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Майстер виробничого навчання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Пітік Т.С.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Викладач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Лобас Т.С.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Комендант гуртожитку</w:t>
            </w:r>
          </w:p>
        </w:tc>
      </w:tr>
      <w:tr>
        <w:trPr>
          <w:trHeight w:val="503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Штих О.О.</w:t>
            </w:r>
          </w:p>
        </w:tc>
        <w:tc>
          <w:tcPr>
            <w:tcW w:w="5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18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Викладач</w:t>
            </w:r>
          </w:p>
        </w:tc>
      </w:tr>
    </w:tbl>
    <w:p>
      <w:pPr>
        <w:numPr>
          <w:ilvl w:val="0"/>
          <w:numId w:val="73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3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30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219"/>
        <w:gridCol w:w="567"/>
        <w:gridCol w:w="4410"/>
      </w:tblGrid>
      <w:tr>
        <w:trPr>
          <w:trHeight w:val="1" w:hRule="atLeast"/>
          <w:jc w:val="center"/>
        </w:trPr>
        <w:tc>
          <w:tcPr>
            <w:tcW w:w="4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профспілкового  комітету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Антонов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 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Комаргородського вищого професійного училища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М.І. Ковальчук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"___" ___________ 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</w:tr>
    </w:tbl>
    <w:p>
      <w:pPr>
        <w:numPr>
          <w:ilvl w:val="0"/>
          <w:numId w:val="78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num w:numId="26">
    <w:abstractNumId w:val="594"/>
  </w:num>
  <w:num w:numId="72">
    <w:abstractNumId w:val="588"/>
  </w:num>
  <w:num w:numId="108">
    <w:abstractNumId w:val="582"/>
  </w:num>
  <w:num w:numId="210">
    <w:abstractNumId w:val="576"/>
  </w:num>
  <w:num w:numId="213">
    <w:abstractNumId w:val="570"/>
  </w:num>
  <w:num w:numId="216">
    <w:abstractNumId w:val="564"/>
  </w:num>
  <w:num w:numId="221">
    <w:abstractNumId w:val="558"/>
  </w:num>
  <w:num w:numId="226">
    <w:abstractNumId w:val="552"/>
  </w:num>
  <w:num w:numId="231">
    <w:abstractNumId w:val="546"/>
  </w:num>
  <w:num w:numId="236">
    <w:abstractNumId w:val="540"/>
  </w:num>
  <w:num w:numId="242">
    <w:abstractNumId w:val="534"/>
  </w:num>
  <w:num w:numId="245">
    <w:abstractNumId w:val="528"/>
  </w:num>
  <w:num w:numId="250">
    <w:abstractNumId w:val="522"/>
  </w:num>
  <w:num w:numId="254">
    <w:abstractNumId w:val="516"/>
  </w:num>
  <w:num w:numId="264">
    <w:abstractNumId w:val="510"/>
  </w:num>
  <w:num w:numId="269">
    <w:abstractNumId w:val="504"/>
  </w:num>
  <w:num w:numId="272">
    <w:abstractNumId w:val="498"/>
  </w:num>
  <w:num w:numId="275">
    <w:abstractNumId w:val="492"/>
  </w:num>
  <w:num w:numId="278">
    <w:abstractNumId w:val="486"/>
  </w:num>
  <w:num w:numId="281">
    <w:abstractNumId w:val="480"/>
  </w:num>
  <w:num w:numId="284">
    <w:abstractNumId w:val="474"/>
  </w:num>
  <w:num w:numId="287">
    <w:abstractNumId w:val="468"/>
  </w:num>
  <w:num w:numId="290">
    <w:abstractNumId w:val="462"/>
  </w:num>
  <w:num w:numId="293">
    <w:abstractNumId w:val="456"/>
  </w:num>
  <w:num w:numId="296">
    <w:abstractNumId w:val="450"/>
  </w:num>
  <w:num w:numId="299">
    <w:abstractNumId w:val="444"/>
  </w:num>
  <w:num w:numId="301">
    <w:abstractNumId w:val="438"/>
  </w:num>
  <w:num w:numId="311">
    <w:abstractNumId w:val="432"/>
  </w:num>
  <w:num w:numId="317">
    <w:abstractNumId w:val="426"/>
  </w:num>
  <w:num w:numId="320">
    <w:abstractNumId w:val="420"/>
  </w:num>
  <w:num w:numId="326">
    <w:abstractNumId w:val="414"/>
  </w:num>
  <w:num w:numId="330">
    <w:abstractNumId w:val="408"/>
  </w:num>
  <w:num w:numId="334">
    <w:abstractNumId w:val="402"/>
  </w:num>
  <w:num w:numId="338">
    <w:abstractNumId w:val="396"/>
  </w:num>
  <w:num w:numId="342">
    <w:abstractNumId w:val="390"/>
  </w:num>
  <w:num w:numId="345">
    <w:abstractNumId w:val="384"/>
  </w:num>
  <w:num w:numId="347">
    <w:abstractNumId w:val="378"/>
  </w:num>
  <w:num w:numId="357">
    <w:abstractNumId w:val="372"/>
  </w:num>
  <w:num w:numId="370">
    <w:abstractNumId w:val="366"/>
  </w:num>
  <w:num w:numId="389">
    <w:abstractNumId w:val="360"/>
  </w:num>
  <w:num w:numId="409">
    <w:abstractNumId w:val="354"/>
  </w:num>
  <w:num w:numId="426">
    <w:abstractNumId w:val="348"/>
  </w:num>
  <w:num w:numId="440">
    <w:abstractNumId w:val="342"/>
  </w:num>
  <w:num w:numId="445">
    <w:abstractNumId w:val="336"/>
  </w:num>
  <w:num w:numId="453">
    <w:abstractNumId w:val="330"/>
  </w:num>
  <w:num w:numId="457">
    <w:abstractNumId w:val="324"/>
  </w:num>
  <w:num w:numId="464">
    <w:abstractNumId w:val="318"/>
  </w:num>
  <w:num w:numId="471">
    <w:abstractNumId w:val="312"/>
  </w:num>
  <w:num w:numId="478">
    <w:abstractNumId w:val="306"/>
  </w:num>
  <w:num w:numId="485">
    <w:abstractNumId w:val="300"/>
  </w:num>
  <w:num w:numId="491">
    <w:abstractNumId w:val="294"/>
  </w:num>
  <w:num w:numId="497">
    <w:abstractNumId w:val="288"/>
  </w:num>
  <w:num w:numId="507">
    <w:abstractNumId w:val="282"/>
  </w:num>
  <w:num w:numId="513">
    <w:abstractNumId w:val="276"/>
  </w:num>
  <w:num w:numId="520">
    <w:abstractNumId w:val="270"/>
  </w:num>
  <w:num w:numId="527">
    <w:abstractNumId w:val="264"/>
  </w:num>
  <w:num w:numId="534">
    <w:abstractNumId w:val="258"/>
  </w:num>
  <w:num w:numId="541">
    <w:abstractNumId w:val="252"/>
  </w:num>
  <w:num w:numId="548">
    <w:abstractNumId w:val="246"/>
  </w:num>
  <w:num w:numId="555">
    <w:abstractNumId w:val="240"/>
  </w:num>
  <w:num w:numId="561">
    <w:abstractNumId w:val="234"/>
  </w:num>
  <w:num w:numId="571">
    <w:abstractNumId w:val="228"/>
  </w:num>
  <w:num w:numId="576">
    <w:abstractNumId w:val="222"/>
  </w:num>
  <w:num w:numId="582">
    <w:abstractNumId w:val="216"/>
  </w:num>
  <w:num w:numId="588">
    <w:abstractNumId w:val="210"/>
  </w:num>
  <w:num w:numId="594">
    <w:abstractNumId w:val="204"/>
  </w:num>
  <w:num w:numId="600">
    <w:abstractNumId w:val="198"/>
  </w:num>
  <w:num w:numId="606">
    <w:abstractNumId w:val="192"/>
  </w:num>
  <w:num w:numId="612">
    <w:abstractNumId w:val="186"/>
  </w:num>
  <w:num w:numId="618">
    <w:abstractNumId w:val="180"/>
  </w:num>
  <w:num w:numId="624">
    <w:abstractNumId w:val="174"/>
  </w:num>
  <w:num w:numId="630">
    <w:abstractNumId w:val="168"/>
  </w:num>
  <w:num w:numId="637">
    <w:abstractNumId w:val="162"/>
  </w:num>
  <w:num w:numId="643">
    <w:abstractNumId w:val="156"/>
  </w:num>
  <w:num w:numId="649">
    <w:abstractNumId w:val="150"/>
  </w:num>
  <w:num w:numId="655">
    <w:abstractNumId w:val="144"/>
  </w:num>
  <w:num w:numId="661">
    <w:abstractNumId w:val="138"/>
  </w:num>
  <w:num w:numId="667">
    <w:abstractNumId w:val="132"/>
  </w:num>
  <w:num w:numId="673">
    <w:abstractNumId w:val="126"/>
  </w:num>
  <w:num w:numId="679">
    <w:abstractNumId w:val="120"/>
  </w:num>
  <w:num w:numId="685">
    <w:abstractNumId w:val="114"/>
  </w:num>
  <w:num w:numId="691">
    <w:abstractNumId w:val="108"/>
  </w:num>
  <w:num w:numId="695">
    <w:abstractNumId w:val="102"/>
  </w:num>
  <w:num w:numId="705">
    <w:abstractNumId w:val="96"/>
  </w:num>
  <w:num w:numId="710">
    <w:abstractNumId w:val="90"/>
  </w:num>
  <w:num w:numId="713">
    <w:abstractNumId w:val="84"/>
  </w:num>
  <w:num w:numId="716">
    <w:abstractNumId w:val="78"/>
  </w:num>
  <w:num w:numId="721">
    <w:abstractNumId w:val="72"/>
  </w:num>
  <w:num w:numId="726">
    <w:abstractNumId w:val="66"/>
  </w:num>
  <w:num w:numId="730">
    <w:abstractNumId w:val="60"/>
  </w:num>
  <w:num w:numId="734">
    <w:abstractNumId w:val="54"/>
  </w:num>
  <w:num w:numId="739">
    <w:abstractNumId w:val="48"/>
  </w:num>
  <w:num w:numId="742">
    <w:abstractNumId w:val="42"/>
  </w:num>
  <w:num w:numId="747">
    <w:abstractNumId w:val="36"/>
  </w:num>
  <w:num w:numId="752">
    <w:abstractNumId w:val="30"/>
  </w:num>
  <w:num w:numId="757">
    <w:abstractNumId w:val="24"/>
  </w:num>
  <w:num w:numId="761">
    <w:abstractNumId w:val="18"/>
  </w:num>
  <w:num w:numId="765">
    <w:abstractNumId w:val="12"/>
  </w:num>
  <w:num w:numId="769">
    <w:abstractNumId w:val="6"/>
  </w:num>
  <w:num w:numId="7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